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0AE5" w14:textId="7C66F82C" w:rsidR="00813EF3" w:rsidRPr="0091593B" w:rsidRDefault="00254333" w:rsidP="0091593B">
      <w:pPr>
        <w:pStyle w:val="Undertittel"/>
        <w:numPr>
          <w:ilvl w:val="0"/>
          <w:numId w:val="0"/>
        </w:numPr>
        <w:pBdr>
          <w:bottom w:val="single" w:sz="4" w:space="1" w:color="auto"/>
        </w:pBdr>
        <w:rPr>
          <w:sz w:val="32"/>
          <w:szCs w:val="32"/>
          <w:lang w:val="en-GB"/>
        </w:rPr>
      </w:pPr>
      <w:r w:rsidRPr="0091593B">
        <w:rPr>
          <w:sz w:val="32"/>
          <w:szCs w:val="32"/>
          <w:lang w:val="en-GB"/>
        </w:rPr>
        <w:t>Appendix 3 – Governance</w:t>
      </w:r>
      <w:r w:rsidR="00351A09" w:rsidRPr="0091593B">
        <w:rPr>
          <w:sz w:val="32"/>
          <w:szCs w:val="32"/>
          <w:lang w:val="en-GB"/>
        </w:rPr>
        <w:t xml:space="preserve"> and reporting</w:t>
      </w:r>
    </w:p>
    <w:p w14:paraId="0EF96D3D" w14:textId="77777777" w:rsidR="008463D3" w:rsidRPr="00AF34A9" w:rsidRDefault="008463D3" w:rsidP="008463D3">
      <w:pPr>
        <w:pStyle w:val="Overskrift1"/>
        <w:numPr>
          <w:ilvl w:val="0"/>
          <w:numId w:val="0"/>
        </w:numPr>
        <w:ind w:left="936" w:hanging="936"/>
      </w:pPr>
      <w:r w:rsidRPr="00AF34A9">
        <w:t>Supplementary definitions</w:t>
      </w:r>
    </w:p>
    <w:tbl>
      <w:tblPr>
        <w:tblStyle w:val="Tabellrutenett"/>
        <w:tblW w:w="0" w:type="auto"/>
        <w:tblLayout w:type="fixed"/>
        <w:tblLook w:val="06A0" w:firstRow="1" w:lastRow="0" w:firstColumn="1" w:lastColumn="0" w:noHBand="1" w:noVBand="1"/>
      </w:tblPr>
      <w:tblGrid>
        <w:gridCol w:w="2055"/>
        <w:gridCol w:w="6960"/>
      </w:tblGrid>
      <w:tr w:rsidR="008463D3" w14:paraId="3956F7F6" w14:textId="77777777" w:rsidTr="34DCC79B">
        <w:trPr>
          <w:trHeight w:val="300"/>
        </w:trPr>
        <w:tc>
          <w:tcPr>
            <w:tcW w:w="2055" w:type="dxa"/>
            <w:shd w:val="clear" w:color="auto" w:fill="BFBFBF" w:themeFill="background1" w:themeFillShade="BF"/>
          </w:tcPr>
          <w:p w14:paraId="11E066F9" w14:textId="77777777" w:rsidR="008463D3" w:rsidRPr="00D32040" w:rsidRDefault="04E9089A">
            <w:pPr>
              <w:rPr>
                <w:rFonts w:cs="Arial"/>
                <w:b/>
                <w:bCs/>
              </w:rPr>
            </w:pPr>
            <w:r w:rsidRPr="34DCC79B">
              <w:rPr>
                <w:rFonts w:cs="Arial"/>
                <w:b/>
                <w:bCs/>
              </w:rPr>
              <w:t>Term</w:t>
            </w:r>
          </w:p>
        </w:tc>
        <w:tc>
          <w:tcPr>
            <w:tcW w:w="6960" w:type="dxa"/>
            <w:shd w:val="clear" w:color="auto" w:fill="BFBFBF" w:themeFill="background1" w:themeFillShade="BF"/>
          </w:tcPr>
          <w:p w14:paraId="68DB1F91" w14:textId="77777777" w:rsidR="008463D3" w:rsidRPr="00D32040" w:rsidRDefault="008463D3">
            <w:pPr>
              <w:rPr>
                <w:rFonts w:cs="Arial"/>
                <w:b/>
                <w:bCs/>
              </w:rPr>
            </w:pPr>
            <w:r w:rsidRPr="00D32040">
              <w:rPr>
                <w:rFonts w:cs="Arial"/>
                <w:b/>
                <w:bCs/>
              </w:rPr>
              <w:t>Definiti</w:t>
            </w:r>
            <w:r>
              <w:rPr>
                <w:rFonts w:cs="Arial"/>
                <w:b/>
                <w:bCs/>
              </w:rPr>
              <w:t>on</w:t>
            </w:r>
            <w:r w:rsidRPr="00750101">
              <w:t xml:space="preserve"> </w:t>
            </w:r>
          </w:p>
        </w:tc>
      </w:tr>
      <w:tr w:rsidR="007505B1" w14:paraId="742E0ACE" w14:textId="77777777" w:rsidTr="34DCC79B">
        <w:trPr>
          <w:trHeight w:val="300"/>
        </w:trPr>
        <w:tc>
          <w:tcPr>
            <w:tcW w:w="2055" w:type="dxa"/>
          </w:tcPr>
          <w:p w14:paraId="2FF1808E" w14:textId="293C95A3" w:rsidR="007505B1" w:rsidRDefault="007505B1" w:rsidP="00ED3C1A">
            <w:pPr>
              <w:rPr>
                <w:rFonts w:cs="Arial"/>
                <w:b/>
                <w:bCs/>
              </w:rPr>
            </w:pPr>
            <w:r>
              <w:rPr>
                <w:rFonts w:cs="Arial"/>
                <w:b/>
                <w:bCs/>
              </w:rPr>
              <w:t>Disputed Change</w:t>
            </w:r>
            <w:r w:rsidR="003A6D54">
              <w:rPr>
                <w:rFonts w:cs="Arial"/>
                <w:b/>
                <w:bCs/>
              </w:rPr>
              <w:t xml:space="preserve"> Request</w:t>
            </w:r>
          </w:p>
        </w:tc>
        <w:tc>
          <w:tcPr>
            <w:tcW w:w="6960" w:type="dxa"/>
          </w:tcPr>
          <w:p w14:paraId="5EDD8B18" w14:textId="030A2021" w:rsidR="007505B1" w:rsidRDefault="47FBF5DB" w:rsidP="00ED3C1A">
            <w:pPr>
              <w:rPr>
                <w:rFonts w:cs="Arial"/>
              </w:rPr>
            </w:pPr>
            <w:r w:rsidRPr="79F8F4DF">
              <w:rPr>
                <w:rFonts w:cs="Arial"/>
              </w:rPr>
              <w:t xml:space="preserve">means </w:t>
            </w:r>
            <w:r w:rsidR="1B9D1D8E" w:rsidRPr="79F8F4DF">
              <w:rPr>
                <w:rFonts w:cs="Arial"/>
              </w:rPr>
              <w:t>a change</w:t>
            </w:r>
            <w:r w:rsidR="27268B36" w:rsidRPr="79F8F4DF">
              <w:rPr>
                <w:rFonts w:cs="Arial"/>
              </w:rPr>
              <w:t xml:space="preserve"> requested by</w:t>
            </w:r>
            <w:r w:rsidR="1B9D1D8E" w:rsidRPr="79F8F4DF">
              <w:rPr>
                <w:rFonts w:cs="Arial"/>
              </w:rPr>
              <w:t xml:space="preserve"> </w:t>
            </w:r>
            <w:r w:rsidR="42A1AF4D" w:rsidRPr="79F8F4DF">
              <w:rPr>
                <w:rFonts w:cs="Arial"/>
              </w:rPr>
              <w:t xml:space="preserve">DFØ </w:t>
            </w:r>
            <w:r w:rsidR="4752BA8B" w:rsidRPr="79F8F4DF">
              <w:rPr>
                <w:rFonts w:cs="Arial"/>
              </w:rPr>
              <w:t xml:space="preserve">or </w:t>
            </w:r>
            <w:proofErr w:type="spellStart"/>
            <w:r w:rsidR="4F0FEBB2" w:rsidRPr="79F8F4DF">
              <w:rPr>
                <w:rFonts w:cs="Arial"/>
              </w:rPr>
              <w:t>a</w:t>
            </w:r>
            <w:r w:rsidR="4752BA8B" w:rsidRPr="79F8F4DF">
              <w:rPr>
                <w:rFonts w:cs="Arial"/>
              </w:rPr>
              <w:t>Customer</w:t>
            </w:r>
            <w:proofErr w:type="spellEnd"/>
            <w:r w:rsidR="66FA0ECB" w:rsidRPr="79F8F4DF">
              <w:rPr>
                <w:rFonts w:cs="Arial"/>
              </w:rPr>
              <w:t xml:space="preserve"> </w:t>
            </w:r>
            <w:r w:rsidR="75344A75" w:rsidRPr="79F8F4DF">
              <w:rPr>
                <w:rFonts w:cs="Arial"/>
              </w:rPr>
              <w:t xml:space="preserve">where the Parties disagree whether the proposed change </w:t>
            </w:r>
            <w:r w:rsidR="405DDFD7" w:rsidRPr="79F8F4DF">
              <w:rPr>
                <w:rFonts w:cs="Arial"/>
              </w:rPr>
              <w:t xml:space="preserve">is </w:t>
            </w:r>
            <w:r w:rsidR="61EF3881" w:rsidRPr="79F8F4DF">
              <w:rPr>
                <w:rFonts w:cs="Arial"/>
              </w:rPr>
              <w:t xml:space="preserve">within or outside the </w:t>
            </w:r>
            <w:r w:rsidR="61D9611F" w:rsidRPr="79F8F4DF">
              <w:rPr>
                <w:rFonts w:cs="Arial"/>
              </w:rPr>
              <w:t>Services</w:t>
            </w:r>
            <w:r w:rsidR="61EF3881" w:rsidRPr="79F8F4DF">
              <w:rPr>
                <w:rFonts w:cs="Arial"/>
              </w:rPr>
              <w:t>.</w:t>
            </w:r>
            <w:r w:rsidR="66FA0ECB" w:rsidRPr="79F8F4DF">
              <w:rPr>
                <w:rFonts w:cs="Arial"/>
              </w:rPr>
              <w:t xml:space="preserve"> </w:t>
            </w:r>
          </w:p>
        </w:tc>
      </w:tr>
      <w:tr w:rsidR="00ED3C1A" w14:paraId="404306D0" w14:textId="77777777" w:rsidTr="34DCC79B">
        <w:trPr>
          <w:trHeight w:val="300"/>
        </w:trPr>
        <w:tc>
          <w:tcPr>
            <w:tcW w:w="2055" w:type="dxa"/>
          </w:tcPr>
          <w:p w14:paraId="141CE0A4" w14:textId="3603832C" w:rsidR="00ED3C1A" w:rsidRDefault="00ED3C1A" w:rsidP="00ED3C1A">
            <w:pPr>
              <w:rPr>
                <w:rFonts w:cs="Arial"/>
                <w:b/>
                <w:bCs/>
              </w:rPr>
            </w:pPr>
            <w:r>
              <w:rPr>
                <w:rFonts w:cs="Arial"/>
                <w:b/>
                <w:bCs/>
              </w:rPr>
              <w:t>Executive Meeting</w:t>
            </w:r>
          </w:p>
        </w:tc>
        <w:tc>
          <w:tcPr>
            <w:tcW w:w="6960" w:type="dxa"/>
          </w:tcPr>
          <w:p w14:paraId="32E2C241" w14:textId="63373E80" w:rsidR="00ED3C1A" w:rsidRDefault="529BC5D9" w:rsidP="00ED3C1A">
            <w:pPr>
              <w:rPr>
                <w:rFonts w:cs="Arial"/>
              </w:rPr>
            </w:pPr>
            <w:r w:rsidRPr="79F8F4DF">
              <w:rPr>
                <w:rFonts w:cs="Arial"/>
              </w:rPr>
              <w:t>means a meeting where a representative from the Supplier on executive level participate</w:t>
            </w:r>
            <w:r w:rsidR="40CA9949" w:rsidRPr="79F8F4DF">
              <w:rPr>
                <w:rFonts w:cs="Arial"/>
              </w:rPr>
              <w:t>s</w:t>
            </w:r>
            <w:r w:rsidRPr="79F8F4DF">
              <w:rPr>
                <w:rFonts w:cs="Arial"/>
              </w:rPr>
              <w:t>.</w:t>
            </w:r>
          </w:p>
        </w:tc>
      </w:tr>
      <w:tr w:rsidR="00ED3C1A" w14:paraId="331E38FA" w14:textId="77777777" w:rsidTr="34DCC79B">
        <w:trPr>
          <w:trHeight w:val="300"/>
        </w:trPr>
        <w:tc>
          <w:tcPr>
            <w:tcW w:w="2055" w:type="dxa"/>
          </w:tcPr>
          <w:p w14:paraId="58735CA0" w14:textId="33E0D932" w:rsidR="00ED3C1A" w:rsidRPr="00666E8C" w:rsidRDefault="00ED3C1A" w:rsidP="00ED3C1A">
            <w:pPr>
              <w:rPr>
                <w:rFonts w:cs="Arial"/>
                <w:b/>
                <w:bCs/>
              </w:rPr>
            </w:pPr>
            <w:r>
              <w:rPr>
                <w:rFonts w:cs="Arial"/>
                <w:b/>
                <w:bCs/>
              </w:rPr>
              <w:t>Supplier Meeting</w:t>
            </w:r>
          </w:p>
        </w:tc>
        <w:tc>
          <w:tcPr>
            <w:tcW w:w="6960" w:type="dxa"/>
          </w:tcPr>
          <w:p w14:paraId="5CB5522C" w14:textId="4213D37F" w:rsidR="00ED3C1A" w:rsidRPr="00D32040" w:rsidRDefault="00ED3C1A" w:rsidP="00ED3C1A">
            <w:pPr>
              <w:rPr>
                <w:rFonts w:cs="Arial"/>
              </w:rPr>
            </w:pPr>
            <w:r>
              <w:rPr>
                <w:rFonts w:cs="Arial"/>
              </w:rPr>
              <w:t>means a meeting between the Parties to discuss performance under this Framework Agreement.</w:t>
            </w:r>
          </w:p>
        </w:tc>
      </w:tr>
      <w:tr w:rsidR="00ED3C1A" w14:paraId="5269A371" w14:textId="77777777" w:rsidTr="34DCC79B">
        <w:trPr>
          <w:trHeight w:val="300"/>
        </w:trPr>
        <w:tc>
          <w:tcPr>
            <w:tcW w:w="2055" w:type="dxa"/>
          </w:tcPr>
          <w:p w14:paraId="779B7C7A" w14:textId="10310D14" w:rsidR="00ED3C1A" w:rsidRDefault="00ED3C1A" w:rsidP="00ED3C1A">
            <w:pPr>
              <w:rPr>
                <w:rFonts w:cs="Arial"/>
                <w:b/>
                <w:bCs/>
              </w:rPr>
            </w:pPr>
            <w:r>
              <w:rPr>
                <w:rFonts w:cs="Arial"/>
                <w:b/>
                <w:bCs/>
              </w:rPr>
              <w:t>Performance Indicator</w:t>
            </w:r>
          </w:p>
        </w:tc>
        <w:tc>
          <w:tcPr>
            <w:tcW w:w="6960" w:type="dxa"/>
          </w:tcPr>
          <w:p w14:paraId="23035892" w14:textId="56B7D53A" w:rsidR="00ED3C1A" w:rsidRPr="00D32040" w:rsidRDefault="00011ADE" w:rsidP="00ED3C1A">
            <w:pPr>
              <w:rPr>
                <w:rFonts w:cs="Arial"/>
              </w:rPr>
            </w:pPr>
            <w:r>
              <w:rPr>
                <w:rFonts w:cs="Arial"/>
              </w:rPr>
              <w:t>Means indicators to monitor the Supplier’s performance under this Framework Agreement</w:t>
            </w:r>
          </w:p>
        </w:tc>
      </w:tr>
      <w:tr w:rsidR="00ED3C1A" w14:paraId="4A84FBCA" w14:textId="77777777" w:rsidTr="34DCC79B">
        <w:trPr>
          <w:trHeight w:val="300"/>
        </w:trPr>
        <w:tc>
          <w:tcPr>
            <w:tcW w:w="2055" w:type="dxa"/>
          </w:tcPr>
          <w:p w14:paraId="2475789F" w14:textId="77777777" w:rsidR="00ED3C1A" w:rsidRDefault="00ED3C1A" w:rsidP="00ED3C1A">
            <w:pPr>
              <w:rPr>
                <w:rFonts w:cs="Arial"/>
                <w:b/>
                <w:bCs/>
              </w:rPr>
            </w:pPr>
          </w:p>
        </w:tc>
        <w:tc>
          <w:tcPr>
            <w:tcW w:w="6960" w:type="dxa"/>
          </w:tcPr>
          <w:p w14:paraId="49A1429A" w14:textId="77777777" w:rsidR="00ED3C1A" w:rsidRPr="00D32040" w:rsidRDefault="00ED3C1A" w:rsidP="00ED3C1A">
            <w:pPr>
              <w:rPr>
                <w:rFonts w:cs="Arial"/>
              </w:rPr>
            </w:pPr>
          </w:p>
        </w:tc>
      </w:tr>
    </w:tbl>
    <w:p w14:paraId="37E611EC" w14:textId="5D3AA5EA" w:rsidR="00BF0597" w:rsidRDefault="00BF0597" w:rsidP="00F1601F">
      <w:pPr>
        <w:pStyle w:val="Overskrift1"/>
      </w:pPr>
      <w:r>
        <w:t>General</w:t>
      </w:r>
    </w:p>
    <w:p w14:paraId="2A7881C5" w14:textId="312217A5" w:rsidR="00BF0597" w:rsidRDefault="00D80970" w:rsidP="00D80970">
      <w:pPr>
        <w:pStyle w:val="Overskrift2"/>
      </w:pPr>
      <w:r>
        <w:t xml:space="preserve">This </w:t>
      </w:r>
      <w:r w:rsidRPr="00852373">
        <w:rPr>
          <w:u w:val="single"/>
        </w:rPr>
        <w:t>Appendix 3</w:t>
      </w:r>
      <w:r>
        <w:t xml:space="preserve"> sets out </w:t>
      </w:r>
      <w:r w:rsidR="004E7033">
        <w:t xml:space="preserve">the </w:t>
      </w:r>
      <w:r>
        <w:t xml:space="preserve">governance </w:t>
      </w:r>
      <w:r w:rsidR="004E7033">
        <w:t xml:space="preserve">and reporting </w:t>
      </w:r>
      <w:r w:rsidR="00637D08">
        <w:t>mechanism</w:t>
      </w:r>
      <w:r w:rsidR="004E7033">
        <w:t>s</w:t>
      </w:r>
      <w:r w:rsidR="00637D08">
        <w:t xml:space="preserve"> for collaboration </w:t>
      </w:r>
      <w:r>
        <w:t xml:space="preserve">between the Supplier and DFØ under the Framework Agreement. These procedures apply in addition to the </w:t>
      </w:r>
      <w:r w:rsidR="00266531">
        <w:t>governance and reporting obligations</w:t>
      </w:r>
      <w:r>
        <w:t xml:space="preserve"> described in clause 5 of the Framework Agreement (main document).</w:t>
      </w:r>
    </w:p>
    <w:p w14:paraId="30AF04DB" w14:textId="4DE63634" w:rsidR="004F0B47" w:rsidRPr="004F0B47" w:rsidRDefault="485ABC16" w:rsidP="00852373">
      <w:pPr>
        <w:pStyle w:val="Overskrift2"/>
      </w:pPr>
      <w:r>
        <w:t>Governance and reporting obligations to</w:t>
      </w:r>
      <w:r w:rsidR="2EB4E066">
        <w:t>wards</w:t>
      </w:r>
      <w:r>
        <w:t xml:space="preserve"> Customers under the Call-Off Contracts are governed by each individual Call-Off Contract.</w:t>
      </w:r>
    </w:p>
    <w:p w14:paraId="06570E93" w14:textId="77777777" w:rsidR="00F32513" w:rsidRDefault="00F32513" w:rsidP="00F32513">
      <w:pPr>
        <w:pStyle w:val="Overskrift1"/>
      </w:pPr>
      <w:r>
        <w:t>Roles and Responsibilities</w:t>
      </w:r>
    </w:p>
    <w:p w14:paraId="54D6D72C" w14:textId="77777777" w:rsidR="00F32513" w:rsidRDefault="00F32513" w:rsidP="00F32513">
      <w:pPr>
        <w:pStyle w:val="Overskrift2a"/>
      </w:pPr>
      <w:r>
        <w:t>Contact person</w:t>
      </w:r>
    </w:p>
    <w:p w14:paraId="51098E8C" w14:textId="77777777" w:rsidR="00F32513" w:rsidRDefault="00F32513" w:rsidP="00F32513">
      <w:pPr>
        <w:pStyle w:val="Overskrift3"/>
      </w:pPr>
      <w:r>
        <w:t>The contact person for all communication regarding the Framework Agreement:</w:t>
      </w:r>
    </w:p>
    <w:tbl>
      <w:tblPr>
        <w:tblStyle w:val="Tabellrutenett"/>
        <w:tblW w:w="0" w:type="auto"/>
        <w:tblLook w:val="04A0" w:firstRow="1" w:lastRow="0" w:firstColumn="1" w:lastColumn="0" w:noHBand="0" w:noVBand="1"/>
      </w:tblPr>
      <w:tblGrid>
        <w:gridCol w:w="1271"/>
        <w:gridCol w:w="3827"/>
        <w:gridCol w:w="3964"/>
      </w:tblGrid>
      <w:tr w:rsidR="00F32513" w14:paraId="051C8573" w14:textId="77777777">
        <w:tc>
          <w:tcPr>
            <w:tcW w:w="1271" w:type="dxa"/>
            <w:shd w:val="clear" w:color="auto" w:fill="A6A6A6" w:themeFill="background1" w:themeFillShade="A6"/>
          </w:tcPr>
          <w:p w14:paraId="76AE6959" w14:textId="77777777" w:rsidR="00F32513" w:rsidRDefault="00F32513"/>
        </w:tc>
        <w:tc>
          <w:tcPr>
            <w:tcW w:w="3827" w:type="dxa"/>
            <w:shd w:val="clear" w:color="auto" w:fill="A6A6A6" w:themeFill="background1" w:themeFillShade="A6"/>
          </w:tcPr>
          <w:p w14:paraId="1C0C6908" w14:textId="77777777" w:rsidR="00F32513" w:rsidRDefault="00F32513">
            <w:r>
              <w:t>For MPS</w:t>
            </w:r>
          </w:p>
        </w:tc>
        <w:tc>
          <w:tcPr>
            <w:tcW w:w="3964" w:type="dxa"/>
            <w:shd w:val="clear" w:color="auto" w:fill="A6A6A6" w:themeFill="background1" w:themeFillShade="A6"/>
          </w:tcPr>
          <w:p w14:paraId="23260863" w14:textId="77777777" w:rsidR="00F32513" w:rsidRDefault="00F32513">
            <w:r>
              <w:t>For the Supplier</w:t>
            </w:r>
          </w:p>
        </w:tc>
      </w:tr>
      <w:tr w:rsidR="00920D07" w14:paraId="2692027A" w14:textId="77777777">
        <w:tc>
          <w:tcPr>
            <w:tcW w:w="1271" w:type="dxa"/>
          </w:tcPr>
          <w:p w14:paraId="32384B32" w14:textId="77777777" w:rsidR="00920D07" w:rsidRDefault="00920D07" w:rsidP="00920D07">
            <w:r>
              <w:t>Name</w:t>
            </w:r>
          </w:p>
        </w:tc>
        <w:tc>
          <w:tcPr>
            <w:tcW w:w="3827" w:type="dxa"/>
          </w:tcPr>
          <w:p w14:paraId="34A97C68" w14:textId="139155E6" w:rsidR="00920D07" w:rsidRDefault="00920D07" w:rsidP="00920D07"/>
        </w:tc>
        <w:tc>
          <w:tcPr>
            <w:tcW w:w="3964" w:type="dxa"/>
          </w:tcPr>
          <w:p w14:paraId="651660F2" w14:textId="00BCD176" w:rsidR="00920D07" w:rsidRDefault="00920D07" w:rsidP="00920D07"/>
        </w:tc>
      </w:tr>
      <w:tr w:rsidR="00920D07" w14:paraId="2CD22083" w14:textId="77777777">
        <w:tc>
          <w:tcPr>
            <w:tcW w:w="1271" w:type="dxa"/>
          </w:tcPr>
          <w:p w14:paraId="4A75BEA3" w14:textId="77777777" w:rsidR="00920D07" w:rsidRDefault="00920D07" w:rsidP="00920D07">
            <w:r>
              <w:t>Position</w:t>
            </w:r>
          </w:p>
        </w:tc>
        <w:tc>
          <w:tcPr>
            <w:tcW w:w="3827" w:type="dxa"/>
          </w:tcPr>
          <w:p w14:paraId="221F5586" w14:textId="291A3023" w:rsidR="00920D07" w:rsidRDefault="00920D07" w:rsidP="00920D07"/>
        </w:tc>
        <w:tc>
          <w:tcPr>
            <w:tcW w:w="3964" w:type="dxa"/>
          </w:tcPr>
          <w:p w14:paraId="2720B525" w14:textId="6BFCA83E" w:rsidR="00920D07" w:rsidRDefault="00920D07" w:rsidP="00920D07"/>
        </w:tc>
      </w:tr>
      <w:tr w:rsidR="00920D07" w:rsidRPr="000F0FD6" w14:paraId="73EBC023" w14:textId="77777777">
        <w:tc>
          <w:tcPr>
            <w:tcW w:w="1271" w:type="dxa"/>
          </w:tcPr>
          <w:p w14:paraId="143613CA" w14:textId="77777777" w:rsidR="00920D07" w:rsidRDefault="00920D07" w:rsidP="00920D07">
            <w:r>
              <w:t>Email</w:t>
            </w:r>
          </w:p>
        </w:tc>
        <w:tc>
          <w:tcPr>
            <w:tcW w:w="3827" w:type="dxa"/>
          </w:tcPr>
          <w:p w14:paraId="79A1E9D2" w14:textId="2E8020AC" w:rsidR="00920D07" w:rsidRPr="000F0FD6" w:rsidRDefault="00920D07" w:rsidP="00920D07">
            <w:pPr>
              <w:rPr>
                <w:lang w:val="nb-NO"/>
              </w:rPr>
            </w:pPr>
          </w:p>
        </w:tc>
        <w:tc>
          <w:tcPr>
            <w:tcW w:w="3964" w:type="dxa"/>
          </w:tcPr>
          <w:p w14:paraId="53941B64" w14:textId="4702AB43" w:rsidR="00920D07" w:rsidRPr="000F0FD6" w:rsidRDefault="00920D07" w:rsidP="00920D07">
            <w:pPr>
              <w:rPr>
                <w:lang w:val="nb-NO"/>
              </w:rPr>
            </w:pPr>
          </w:p>
        </w:tc>
      </w:tr>
      <w:tr w:rsidR="00920D07" w14:paraId="04C62494" w14:textId="77777777">
        <w:tc>
          <w:tcPr>
            <w:tcW w:w="1271" w:type="dxa"/>
          </w:tcPr>
          <w:p w14:paraId="363705BD" w14:textId="77777777" w:rsidR="00920D07" w:rsidRDefault="00920D07" w:rsidP="00920D07">
            <w:r>
              <w:t>Telephone</w:t>
            </w:r>
          </w:p>
        </w:tc>
        <w:tc>
          <w:tcPr>
            <w:tcW w:w="3827" w:type="dxa"/>
          </w:tcPr>
          <w:p w14:paraId="77E3E36C" w14:textId="4D884903" w:rsidR="00920D07" w:rsidRDefault="00920D07" w:rsidP="00920D07"/>
        </w:tc>
        <w:tc>
          <w:tcPr>
            <w:tcW w:w="3964" w:type="dxa"/>
          </w:tcPr>
          <w:p w14:paraId="7C98962D" w14:textId="2F3F29DA" w:rsidR="00920D07" w:rsidRDefault="00920D07" w:rsidP="00920D07"/>
        </w:tc>
      </w:tr>
    </w:tbl>
    <w:p w14:paraId="4075E85B" w14:textId="77777777" w:rsidR="00F32513" w:rsidRDefault="00F32513" w:rsidP="00F32513"/>
    <w:p w14:paraId="065FB371" w14:textId="77777777" w:rsidR="00F32513" w:rsidRDefault="00F32513" w:rsidP="00F32513">
      <w:pPr>
        <w:pStyle w:val="Overskrift2a"/>
      </w:pPr>
      <w:r>
        <w:t>Roles and Responsibilities</w:t>
      </w:r>
    </w:p>
    <w:p w14:paraId="2073BB5D" w14:textId="2DC6C39D" w:rsidR="00F32513" w:rsidRDefault="264EA754" w:rsidP="00F32513">
      <w:pPr>
        <w:pStyle w:val="Overskrift3"/>
      </w:pPr>
      <w:r>
        <w:t xml:space="preserve">The roles and their areas of responsibility under the Framework </w:t>
      </w:r>
      <w:proofErr w:type="gramStart"/>
      <w:r>
        <w:t>Agreement</w:t>
      </w:r>
      <w:proofErr w:type="gramEnd"/>
      <w:r w:rsidR="46DBB8F0">
        <w:t xml:space="preserve"> including Call-Off Contracts</w:t>
      </w:r>
      <w:r>
        <w:t xml:space="preserve"> are defined as follows:</w:t>
      </w:r>
    </w:p>
    <w:p w14:paraId="76C4ECE7" w14:textId="77777777" w:rsidR="00F32513" w:rsidRDefault="00F32513" w:rsidP="00F32513">
      <w:pPr>
        <w:rPr>
          <w:lang w:val="en-US"/>
        </w:rPr>
      </w:pPr>
    </w:p>
    <w:p w14:paraId="264A4B49" w14:textId="77777777" w:rsidR="00920D07" w:rsidRDefault="00920D07" w:rsidP="00F32513">
      <w:pPr>
        <w:rPr>
          <w:lang w:val="en-US"/>
        </w:rPr>
      </w:pPr>
    </w:p>
    <w:p w14:paraId="0C5E565F" w14:textId="77777777" w:rsidR="00920D07" w:rsidRPr="00F32513" w:rsidRDefault="00920D07" w:rsidP="00F32513">
      <w:pPr>
        <w:rPr>
          <w:lang w:val="en-US"/>
        </w:rPr>
      </w:pPr>
    </w:p>
    <w:tbl>
      <w:tblPr>
        <w:tblStyle w:val="Tabellrutenett"/>
        <w:tblW w:w="0" w:type="auto"/>
        <w:tblLook w:val="04A0" w:firstRow="1" w:lastRow="0" w:firstColumn="1" w:lastColumn="0" w:noHBand="0" w:noVBand="1"/>
      </w:tblPr>
      <w:tblGrid>
        <w:gridCol w:w="2265"/>
        <w:gridCol w:w="2265"/>
        <w:gridCol w:w="2266"/>
        <w:gridCol w:w="2266"/>
      </w:tblGrid>
      <w:tr w:rsidR="00F32513" w14:paraId="28C33ECB" w14:textId="77777777" w:rsidTr="34DCC79B">
        <w:tc>
          <w:tcPr>
            <w:tcW w:w="2265" w:type="dxa"/>
            <w:shd w:val="clear" w:color="auto" w:fill="AEAAAA" w:themeFill="background2" w:themeFillShade="BF"/>
          </w:tcPr>
          <w:p w14:paraId="12E792F0" w14:textId="77777777" w:rsidR="00F32513" w:rsidRDefault="00F32513">
            <w:r>
              <w:t>DFØ peer role</w:t>
            </w:r>
          </w:p>
        </w:tc>
        <w:tc>
          <w:tcPr>
            <w:tcW w:w="2265" w:type="dxa"/>
            <w:shd w:val="clear" w:color="auto" w:fill="AEAAAA" w:themeFill="background2" w:themeFillShade="BF"/>
          </w:tcPr>
          <w:p w14:paraId="58FCC4D9" w14:textId="77777777" w:rsidR="00F32513" w:rsidRDefault="00F32513">
            <w:r>
              <w:t>Responsibility</w:t>
            </w:r>
          </w:p>
        </w:tc>
        <w:tc>
          <w:tcPr>
            <w:tcW w:w="2266" w:type="dxa"/>
            <w:shd w:val="clear" w:color="auto" w:fill="AEAAAA" w:themeFill="background2" w:themeFillShade="BF"/>
          </w:tcPr>
          <w:p w14:paraId="7418937E" w14:textId="3719D8D2" w:rsidR="00F32513" w:rsidRDefault="264EA754">
            <w:r>
              <w:t>Supplier peer role</w:t>
            </w:r>
          </w:p>
        </w:tc>
        <w:tc>
          <w:tcPr>
            <w:tcW w:w="2266" w:type="dxa"/>
            <w:shd w:val="clear" w:color="auto" w:fill="AEAAAA" w:themeFill="background2" w:themeFillShade="BF"/>
          </w:tcPr>
          <w:p w14:paraId="6DDF40BB" w14:textId="77777777" w:rsidR="00F32513" w:rsidRDefault="00F32513">
            <w:r>
              <w:t>Responsibility</w:t>
            </w:r>
          </w:p>
        </w:tc>
      </w:tr>
      <w:tr w:rsidR="00A7432A" w14:paraId="5FEAD1F1" w14:textId="77777777" w:rsidTr="34DCC79B">
        <w:tc>
          <w:tcPr>
            <w:tcW w:w="2265" w:type="dxa"/>
          </w:tcPr>
          <w:p w14:paraId="654CCB22" w14:textId="77777777" w:rsidR="00A7432A" w:rsidRDefault="00A7432A" w:rsidP="00A7432A">
            <w:r>
              <w:t>MPS’ Category Manager</w:t>
            </w:r>
          </w:p>
        </w:tc>
        <w:tc>
          <w:tcPr>
            <w:tcW w:w="2265" w:type="dxa"/>
          </w:tcPr>
          <w:p w14:paraId="4E19CBF0" w14:textId="77777777" w:rsidR="00A7432A" w:rsidRDefault="00A7432A" w:rsidP="00A7432A">
            <w:r>
              <w:t xml:space="preserve">Contact person for reporting and daily activities. Not authorised to make </w:t>
            </w:r>
            <w:r>
              <w:lastRenderedPageBreak/>
              <w:t>changes to the contract. Responsible for the agreement</w:t>
            </w:r>
          </w:p>
        </w:tc>
        <w:tc>
          <w:tcPr>
            <w:tcW w:w="2266" w:type="dxa"/>
          </w:tcPr>
          <w:p w14:paraId="4EB1A84D" w14:textId="50642A3F" w:rsidR="00A7432A" w:rsidRPr="00FF0542" w:rsidRDefault="0A081572" w:rsidP="79F8F4DF">
            <w:pPr>
              <w:rPr>
                <w:i/>
                <w:iCs/>
                <w:color w:val="4472C4" w:themeColor="accent1"/>
              </w:rPr>
            </w:pPr>
            <w:r w:rsidRPr="00FF0542">
              <w:rPr>
                <w:i/>
                <w:iCs/>
                <w:color w:val="4472C4" w:themeColor="accent1"/>
              </w:rPr>
              <w:lastRenderedPageBreak/>
              <w:t xml:space="preserve"> [To be filled out</w:t>
            </w:r>
            <w:r w:rsidR="674EDF66" w:rsidRPr="00FF0542">
              <w:rPr>
                <w:i/>
                <w:iCs/>
                <w:color w:val="4472C4" w:themeColor="accent1"/>
              </w:rPr>
              <w:t xml:space="preserve"> prior to signing</w:t>
            </w:r>
            <w:r w:rsidRPr="00FF0542">
              <w:rPr>
                <w:i/>
                <w:iCs/>
                <w:color w:val="4472C4" w:themeColor="accent1"/>
              </w:rPr>
              <w:t>]</w:t>
            </w:r>
          </w:p>
        </w:tc>
        <w:tc>
          <w:tcPr>
            <w:tcW w:w="2266" w:type="dxa"/>
          </w:tcPr>
          <w:p w14:paraId="10928451" w14:textId="36462ACB" w:rsidR="00A7432A" w:rsidRPr="00FF0542" w:rsidRDefault="49174419" w:rsidP="34DCC79B">
            <w:pPr>
              <w:rPr>
                <w:i/>
                <w:iCs/>
                <w:color w:val="4472C4" w:themeColor="accent1"/>
              </w:rPr>
            </w:pPr>
            <w:r w:rsidRPr="00FF0542">
              <w:rPr>
                <w:i/>
                <w:iCs/>
                <w:color w:val="4472C4" w:themeColor="accent1"/>
              </w:rPr>
              <w:t xml:space="preserve"> [To be filled out prior to signing]</w:t>
            </w:r>
          </w:p>
        </w:tc>
      </w:tr>
      <w:tr w:rsidR="00A7432A" w14:paraId="3C4A0211" w14:textId="77777777" w:rsidTr="34DCC79B">
        <w:tc>
          <w:tcPr>
            <w:tcW w:w="2265" w:type="dxa"/>
          </w:tcPr>
          <w:p w14:paraId="4E85056F" w14:textId="77777777" w:rsidR="00A7432A" w:rsidRDefault="00A7432A" w:rsidP="00A7432A">
            <w:r>
              <w:t>MPS’ Security Officer</w:t>
            </w:r>
          </w:p>
        </w:tc>
        <w:tc>
          <w:tcPr>
            <w:tcW w:w="2265" w:type="dxa"/>
          </w:tcPr>
          <w:p w14:paraId="5A6353DA" w14:textId="6DA2946E" w:rsidR="00A7432A" w:rsidRDefault="00A7432A" w:rsidP="00A7432A">
            <w:r>
              <w:t>Information security management including risks, incidents and vulnerabilities</w:t>
            </w:r>
          </w:p>
          <w:p w14:paraId="602E48F7" w14:textId="2D329086" w:rsidR="00A7432A" w:rsidRDefault="00A7432A" w:rsidP="00A7432A"/>
        </w:tc>
        <w:tc>
          <w:tcPr>
            <w:tcW w:w="2266" w:type="dxa"/>
          </w:tcPr>
          <w:p w14:paraId="6AB21D2B" w14:textId="3CE46D83" w:rsidR="00A7432A" w:rsidRPr="00FF0542" w:rsidRDefault="0AA833FF" w:rsidP="34DCC79B">
            <w:pPr>
              <w:rPr>
                <w:i/>
                <w:iCs/>
                <w:color w:val="4472C4" w:themeColor="accent1"/>
              </w:rPr>
            </w:pPr>
            <w:r w:rsidRPr="00FF0542">
              <w:rPr>
                <w:i/>
                <w:iCs/>
                <w:color w:val="4472C4" w:themeColor="accent1"/>
              </w:rPr>
              <w:t xml:space="preserve"> [To be filled out prior to signing]</w:t>
            </w:r>
          </w:p>
        </w:tc>
        <w:tc>
          <w:tcPr>
            <w:tcW w:w="2266" w:type="dxa"/>
          </w:tcPr>
          <w:p w14:paraId="4E15FAF9" w14:textId="224A042C" w:rsidR="00A7432A" w:rsidRPr="00FF0542" w:rsidRDefault="428EC597" w:rsidP="34DCC79B">
            <w:pPr>
              <w:rPr>
                <w:i/>
                <w:iCs/>
                <w:color w:val="4472C4" w:themeColor="accent1"/>
              </w:rPr>
            </w:pPr>
            <w:r w:rsidRPr="00FF0542">
              <w:rPr>
                <w:i/>
                <w:iCs/>
                <w:color w:val="4472C4" w:themeColor="accent1"/>
              </w:rPr>
              <w:t xml:space="preserve"> [To be filled out prior to signing]</w:t>
            </w:r>
          </w:p>
        </w:tc>
      </w:tr>
      <w:tr w:rsidR="00A7432A" w14:paraId="6E194AF0" w14:textId="77777777" w:rsidTr="34DCC79B">
        <w:tc>
          <w:tcPr>
            <w:tcW w:w="2265" w:type="dxa"/>
          </w:tcPr>
          <w:p w14:paraId="7E3E1752" w14:textId="0C8ECDB3" w:rsidR="00A7432A" w:rsidRDefault="4B96A3C2" w:rsidP="00A7432A">
            <w:r>
              <w:t xml:space="preserve">DFØ’s </w:t>
            </w:r>
            <w:r w:rsidR="56ACBF2A">
              <w:t>Authorised Representative</w:t>
            </w:r>
          </w:p>
        </w:tc>
        <w:tc>
          <w:tcPr>
            <w:tcW w:w="2265" w:type="dxa"/>
          </w:tcPr>
          <w:p w14:paraId="2F119A21" w14:textId="77777777" w:rsidR="00A7432A" w:rsidRDefault="00A7432A" w:rsidP="00A7432A">
            <w:r>
              <w:t>Authorised representative. Authority to amend, change the Framework Agreement.</w:t>
            </w:r>
          </w:p>
        </w:tc>
        <w:tc>
          <w:tcPr>
            <w:tcW w:w="2266" w:type="dxa"/>
          </w:tcPr>
          <w:p w14:paraId="5152A8D9" w14:textId="148F95C0" w:rsidR="00A7432A" w:rsidRPr="00FF0542" w:rsidRDefault="2B7CFC6C" w:rsidP="34DCC79B">
            <w:pPr>
              <w:rPr>
                <w:i/>
                <w:iCs/>
                <w:color w:val="4472C4" w:themeColor="accent1"/>
              </w:rPr>
            </w:pPr>
            <w:r w:rsidRPr="00FF0542">
              <w:rPr>
                <w:i/>
                <w:iCs/>
                <w:color w:val="4472C4" w:themeColor="accent1"/>
              </w:rPr>
              <w:t xml:space="preserve"> [To be filled out prior to signing]</w:t>
            </w:r>
          </w:p>
        </w:tc>
        <w:tc>
          <w:tcPr>
            <w:tcW w:w="2266" w:type="dxa"/>
          </w:tcPr>
          <w:p w14:paraId="6B2463E5" w14:textId="6370AF6E" w:rsidR="00A7432A" w:rsidRPr="00FF0542" w:rsidRDefault="549FB137" w:rsidP="34DCC79B">
            <w:pPr>
              <w:rPr>
                <w:i/>
                <w:iCs/>
                <w:color w:val="4472C4" w:themeColor="accent1"/>
              </w:rPr>
            </w:pPr>
            <w:r w:rsidRPr="00FF0542">
              <w:rPr>
                <w:i/>
                <w:iCs/>
                <w:color w:val="4472C4" w:themeColor="accent1"/>
              </w:rPr>
              <w:t>Authority to amend, change the Framework Agreement</w:t>
            </w:r>
            <w:r w:rsidR="55EF9BA4" w:rsidRPr="00FF0542">
              <w:rPr>
                <w:i/>
                <w:iCs/>
                <w:color w:val="4472C4" w:themeColor="accent1"/>
              </w:rPr>
              <w:t xml:space="preserve"> </w:t>
            </w:r>
            <w:r w:rsidR="0DAB0762" w:rsidRPr="00FF0542">
              <w:rPr>
                <w:i/>
                <w:iCs/>
                <w:color w:val="4472C4" w:themeColor="accent1"/>
              </w:rPr>
              <w:t>[</w:t>
            </w:r>
            <w:r w:rsidR="433EFEB4" w:rsidRPr="00FF0542">
              <w:rPr>
                <w:i/>
                <w:iCs/>
                <w:color w:val="4472C4" w:themeColor="accent1"/>
              </w:rPr>
              <w:t>To be filled out prior to signing]</w:t>
            </w:r>
          </w:p>
        </w:tc>
      </w:tr>
      <w:tr w:rsidR="00A7432A" w14:paraId="375EE0A4" w14:textId="77777777" w:rsidTr="34DCC79B">
        <w:tc>
          <w:tcPr>
            <w:tcW w:w="2265" w:type="dxa"/>
          </w:tcPr>
          <w:p w14:paraId="5B5CD80A" w14:textId="77777777" w:rsidR="00A7432A" w:rsidRDefault="00A7432A" w:rsidP="00A7432A">
            <w:r>
              <w:t xml:space="preserve">MPS’ Program director </w:t>
            </w:r>
          </w:p>
        </w:tc>
        <w:tc>
          <w:tcPr>
            <w:tcW w:w="2265" w:type="dxa"/>
          </w:tcPr>
          <w:p w14:paraId="13D8E568" w14:textId="77777777" w:rsidR="00A7432A" w:rsidRDefault="00A7432A" w:rsidP="00A7432A">
            <w:r>
              <w:t>Responsible for the performance of MPS.</w:t>
            </w:r>
          </w:p>
          <w:p w14:paraId="02E57E3B" w14:textId="77777777" w:rsidR="00A7432A" w:rsidRDefault="00A7432A" w:rsidP="00A7432A">
            <w:r>
              <w:t>Escalation points, settling disputes.</w:t>
            </w:r>
          </w:p>
        </w:tc>
        <w:tc>
          <w:tcPr>
            <w:tcW w:w="2266" w:type="dxa"/>
          </w:tcPr>
          <w:p w14:paraId="392860CB" w14:textId="7506F024" w:rsidR="00A7432A" w:rsidRPr="00FF0542" w:rsidRDefault="574CCFBF" w:rsidP="34DCC79B">
            <w:pPr>
              <w:rPr>
                <w:i/>
                <w:iCs/>
                <w:color w:val="4472C4" w:themeColor="accent1"/>
              </w:rPr>
            </w:pPr>
            <w:r w:rsidRPr="00FF0542">
              <w:rPr>
                <w:i/>
                <w:iCs/>
                <w:color w:val="4472C4" w:themeColor="accent1"/>
              </w:rPr>
              <w:t xml:space="preserve"> [To be filled out prior to signing]</w:t>
            </w:r>
          </w:p>
        </w:tc>
        <w:tc>
          <w:tcPr>
            <w:tcW w:w="2266" w:type="dxa"/>
          </w:tcPr>
          <w:p w14:paraId="5D1630E6" w14:textId="34554B39" w:rsidR="00A7432A" w:rsidRPr="00FF0542" w:rsidRDefault="57A00AC2" w:rsidP="34DCC79B">
            <w:pPr>
              <w:rPr>
                <w:i/>
                <w:iCs/>
                <w:color w:val="4472C4" w:themeColor="accent1"/>
              </w:rPr>
            </w:pPr>
            <w:r w:rsidRPr="00FF0542">
              <w:rPr>
                <w:i/>
                <w:iCs/>
                <w:color w:val="4472C4" w:themeColor="accent1"/>
              </w:rPr>
              <w:t xml:space="preserve"> [To be filled out prior to signing]</w:t>
            </w:r>
          </w:p>
        </w:tc>
      </w:tr>
      <w:tr w:rsidR="00A7432A" w14:paraId="3C54277F" w14:textId="77777777" w:rsidTr="34DCC79B">
        <w:tc>
          <w:tcPr>
            <w:tcW w:w="2265" w:type="dxa"/>
          </w:tcPr>
          <w:p w14:paraId="4DDCBB6F" w14:textId="1027294C" w:rsidR="00A7432A" w:rsidRDefault="00A7432A" w:rsidP="00A7432A">
            <w:r>
              <w:t>Owner of MPS</w:t>
            </w:r>
          </w:p>
        </w:tc>
        <w:tc>
          <w:tcPr>
            <w:tcW w:w="2265" w:type="dxa"/>
          </w:tcPr>
          <w:p w14:paraId="280F7295" w14:textId="77777777" w:rsidR="00A7432A" w:rsidRDefault="00A7432A" w:rsidP="00A7432A">
            <w:r>
              <w:t>Escalation point. Settling disputes</w:t>
            </w:r>
          </w:p>
        </w:tc>
        <w:tc>
          <w:tcPr>
            <w:tcW w:w="2266" w:type="dxa"/>
          </w:tcPr>
          <w:p w14:paraId="73AB8F20" w14:textId="4733A39F" w:rsidR="00A7432A" w:rsidRPr="00FF0542" w:rsidRDefault="5855FA33" w:rsidP="34DCC79B">
            <w:pPr>
              <w:rPr>
                <w:i/>
                <w:iCs/>
                <w:color w:val="4472C4" w:themeColor="accent1"/>
              </w:rPr>
            </w:pPr>
            <w:r w:rsidRPr="00FF0542">
              <w:rPr>
                <w:i/>
                <w:iCs/>
                <w:color w:val="4472C4" w:themeColor="accent1"/>
              </w:rPr>
              <w:t xml:space="preserve"> [To be filled out prior to signing]</w:t>
            </w:r>
          </w:p>
        </w:tc>
        <w:tc>
          <w:tcPr>
            <w:tcW w:w="2266" w:type="dxa"/>
          </w:tcPr>
          <w:p w14:paraId="179EA607" w14:textId="2318E367" w:rsidR="00A7432A" w:rsidRPr="00FF0542" w:rsidRDefault="5BE74844" w:rsidP="34DCC79B">
            <w:pPr>
              <w:rPr>
                <w:i/>
                <w:iCs/>
                <w:color w:val="4472C4" w:themeColor="accent1"/>
              </w:rPr>
            </w:pPr>
            <w:r w:rsidRPr="00FF0542">
              <w:rPr>
                <w:i/>
                <w:iCs/>
                <w:color w:val="4472C4" w:themeColor="accent1"/>
              </w:rPr>
              <w:t xml:space="preserve"> [To be filled out prior to signing]</w:t>
            </w:r>
          </w:p>
        </w:tc>
      </w:tr>
    </w:tbl>
    <w:p w14:paraId="10BA5E90" w14:textId="77777777" w:rsidR="00F32513" w:rsidRDefault="00F32513" w:rsidP="00F32513"/>
    <w:p w14:paraId="653CA9D0" w14:textId="78678F01" w:rsidR="00813EF3" w:rsidRPr="00B565C1" w:rsidRDefault="002D0945" w:rsidP="00F1601F">
      <w:pPr>
        <w:pStyle w:val="Overskrift1"/>
      </w:pPr>
      <w:r w:rsidRPr="00D53D1E">
        <w:t>Supplier</w:t>
      </w:r>
      <w:r w:rsidR="00813EF3" w:rsidRPr="00B565C1">
        <w:t xml:space="preserve"> meetings</w:t>
      </w:r>
    </w:p>
    <w:p w14:paraId="337BF6F6" w14:textId="77777777" w:rsidR="002666A1" w:rsidRPr="00330EC0" w:rsidRDefault="002666A1" w:rsidP="0013210B">
      <w:pPr>
        <w:pStyle w:val="Overskrift2a"/>
      </w:pPr>
      <w:r w:rsidRPr="00330EC0">
        <w:t>Frequency</w:t>
      </w:r>
    </w:p>
    <w:p w14:paraId="6C0052B1" w14:textId="2A95DD89" w:rsidR="002666A1" w:rsidRPr="00330EC0" w:rsidRDefault="4FC4BF8A" w:rsidP="00330EC0">
      <w:pPr>
        <w:pStyle w:val="Overskrift3"/>
      </w:pPr>
      <w:r>
        <w:t xml:space="preserve">DFØ and the Supplier shall meet </w:t>
      </w:r>
      <w:r w:rsidR="40B8771E">
        <w:t xml:space="preserve">at least once every </w:t>
      </w:r>
      <w:r w:rsidR="00DC433A">
        <w:t>three</w:t>
      </w:r>
      <w:r w:rsidR="40B8771E">
        <w:t xml:space="preserve"> months </w:t>
      </w:r>
      <w:r w:rsidR="5E5D2982">
        <w:t>to discuss the performance under the Framework Agreement</w:t>
      </w:r>
      <w:r w:rsidR="759BE8AC">
        <w:t xml:space="preserve"> (“</w:t>
      </w:r>
      <w:r w:rsidR="759BE8AC" w:rsidRPr="79F8F4DF">
        <w:rPr>
          <w:b/>
          <w:bCs/>
        </w:rPr>
        <w:t>Supplier Meeting</w:t>
      </w:r>
      <w:r w:rsidR="759BE8AC">
        <w:t>”)</w:t>
      </w:r>
      <w:r w:rsidR="5E5D2982">
        <w:t xml:space="preserve">. </w:t>
      </w:r>
      <w:r w:rsidR="4A03D474">
        <w:t>A representative on executive level from the Supplier shall participate on at least one of the meetings (“</w:t>
      </w:r>
      <w:r w:rsidR="1C07067F" w:rsidRPr="79F8F4DF">
        <w:rPr>
          <w:b/>
          <w:bCs/>
        </w:rPr>
        <w:t>E</w:t>
      </w:r>
      <w:r w:rsidR="4A03D474" w:rsidRPr="79F8F4DF">
        <w:rPr>
          <w:b/>
          <w:bCs/>
        </w:rPr>
        <w:t xml:space="preserve">xecutive </w:t>
      </w:r>
      <w:r w:rsidR="1C07067F" w:rsidRPr="79F8F4DF">
        <w:rPr>
          <w:b/>
          <w:bCs/>
        </w:rPr>
        <w:t>M</w:t>
      </w:r>
      <w:r w:rsidR="4A03D474" w:rsidRPr="79F8F4DF">
        <w:rPr>
          <w:b/>
          <w:bCs/>
        </w:rPr>
        <w:t>eeting</w:t>
      </w:r>
      <w:r w:rsidR="4A03D474">
        <w:t>”)</w:t>
      </w:r>
      <w:r w:rsidR="6E6BAE66">
        <w:t xml:space="preserve"> per year</w:t>
      </w:r>
      <w:r w:rsidR="5E49DEFD">
        <w:t>, or</w:t>
      </w:r>
      <w:r w:rsidR="6E6BAE66">
        <w:t xml:space="preserve"> as</w:t>
      </w:r>
      <w:r w:rsidR="5E49DEFD">
        <w:t xml:space="preserve"> per request by </w:t>
      </w:r>
      <w:r w:rsidR="710DAAF0">
        <w:t>DFØ</w:t>
      </w:r>
      <w:r w:rsidR="5E49DEFD">
        <w:t>.</w:t>
      </w:r>
    </w:p>
    <w:p w14:paraId="634B7A5C" w14:textId="77777777" w:rsidR="00813EF3" w:rsidRPr="00330EC0" w:rsidRDefault="00813EF3" w:rsidP="0013210B">
      <w:pPr>
        <w:pStyle w:val="Overskrift2a"/>
      </w:pPr>
      <w:r w:rsidRPr="00330EC0">
        <w:t>Participants</w:t>
      </w:r>
    </w:p>
    <w:p w14:paraId="6DDDF791" w14:textId="31B0C9BC" w:rsidR="005844DF" w:rsidRDefault="00D55F49" w:rsidP="00EF2897">
      <w:pPr>
        <w:pStyle w:val="Overskrift3"/>
      </w:pPr>
      <w:r>
        <w:t xml:space="preserve">The </w:t>
      </w:r>
      <w:r w:rsidR="00534588">
        <w:t>S</w:t>
      </w:r>
      <w:r>
        <w:t xml:space="preserve">upplier undertakes to participate </w:t>
      </w:r>
      <w:r w:rsidR="00F66BA8">
        <w:t xml:space="preserve">in the Supplier Meetings </w:t>
      </w:r>
      <w:r>
        <w:t xml:space="preserve">with </w:t>
      </w:r>
      <w:r w:rsidR="00F66BA8">
        <w:t>the following roles</w:t>
      </w:r>
      <w:r w:rsidR="00B9053A">
        <w:t>:</w:t>
      </w:r>
    </w:p>
    <w:p w14:paraId="60B076A5" w14:textId="2763160F" w:rsidR="00312499" w:rsidRPr="002100C2" w:rsidRDefault="79149677" w:rsidP="34DCC79B">
      <w:pPr>
        <w:pStyle w:val="Nummerertliste2"/>
        <w:rPr>
          <w:i/>
          <w:iCs/>
          <w:color w:val="4472C4" w:themeColor="accent1"/>
          <w:lang w:val="en-GB"/>
        </w:rPr>
      </w:pPr>
      <w:r w:rsidRPr="002100C2">
        <w:rPr>
          <w:i/>
          <w:iCs/>
          <w:color w:val="4472C4" w:themeColor="accent1"/>
          <w:lang w:val="en-US"/>
        </w:rPr>
        <w:t xml:space="preserve"> [To be filled out prior to signing]</w:t>
      </w:r>
    </w:p>
    <w:p w14:paraId="32D49EE6" w14:textId="48D1830B" w:rsidR="001B7DE2" w:rsidRDefault="00D56758" w:rsidP="001B7DE2">
      <w:pPr>
        <w:pStyle w:val="Overskrift3"/>
      </w:pPr>
      <w:r>
        <w:t xml:space="preserve">DFØ undertakes to participate </w:t>
      </w:r>
      <w:r w:rsidR="00F66BA8">
        <w:t xml:space="preserve">in the Supplier Meetings </w:t>
      </w:r>
      <w:r>
        <w:t xml:space="preserve">with </w:t>
      </w:r>
      <w:r w:rsidR="00F66BA8">
        <w:t>the following roles</w:t>
      </w:r>
      <w:r>
        <w:t>:</w:t>
      </w:r>
    </w:p>
    <w:p w14:paraId="66142166" w14:textId="51019B4A" w:rsidR="00312499" w:rsidRDefault="00495503" w:rsidP="00312499">
      <w:pPr>
        <w:pStyle w:val="Nummerertliste"/>
        <w:rPr>
          <w:lang w:val="en-GB"/>
        </w:rPr>
      </w:pPr>
      <w:r>
        <w:rPr>
          <w:lang w:val="en-GB"/>
        </w:rPr>
        <w:t>MPS Category Manager</w:t>
      </w:r>
    </w:p>
    <w:p w14:paraId="69D1B961" w14:textId="23D3FD5F" w:rsidR="00495503" w:rsidRPr="00F30114" w:rsidRDefault="00495503" w:rsidP="00312499">
      <w:pPr>
        <w:pStyle w:val="Nummerertliste"/>
        <w:rPr>
          <w:lang w:val="en-GB"/>
        </w:rPr>
      </w:pPr>
      <w:r>
        <w:rPr>
          <w:lang w:val="en-GB"/>
        </w:rPr>
        <w:t>Other relevant resources</w:t>
      </w:r>
    </w:p>
    <w:p w14:paraId="20083D75" w14:textId="0D1C7BBF" w:rsidR="00813EF3" w:rsidRPr="000E2C41" w:rsidRDefault="00BB19AC" w:rsidP="0013210B">
      <w:pPr>
        <w:pStyle w:val="Overskrift2a"/>
      </w:pPr>
      <w:r w:rsidRPr="000E2C41">
        <w:t>A</w:t>
      </w:r>
      <w:r w:rsidR="00813EF3" w:rsidRPr="000E2C41">
        <w:t>genda</w:t>
      </w:r>
    </w:p>
    <w:p w14:paraId="1E28173B" w14:textId="2E22EA62" w:rsidR="00A44FDA" w:rsidRDefault="00030771" w:rsidP="008463D3">
      <w:pPr>
        <w:pStyle w:val="Overskrift3"/>
      </w:pPr>
      <w:r>
        <w:t xml:space="preserve">In the </w:t>
      </w:r>
      <w:r w:rsidR="003D0CB7">
        <w:t xml:space="preserve">Supplier </w:t>
      </w:r>
      <w:r w:rsidR="00676F60">
        <w:t>m</w:t>
      </w:r>
      <w:r>
        <w:t>eetings</w:t>
      </w:r>
      <w:r w:rsidR="003D0CB7">
        <w:t>,</w:t>
      </w:r>
      <w:r>
        <w:t xml:space="preserve"> DFØ and the Supplier shall</w:t>
      </w:r>
      <w:r w:rsidR="00B74D07">
        <w:t xml:space="preserve"> discuss</w:t>
      </w:r>
      <w:r w:rsidR="00A44FDA">
        <w:t xml:space="preserve">, but not </w:t>
      </w:r>
      <w:r w:rsidR="00B74D07">
        <w:t>be</w:t>
      </w:r>
      <w:r w:rsidR="00A44FDA">
        <w:t xml:space="preserve"> limited to</w:t>
      </w:r>
      <w:r w:rsidR="00B74D07">
        <w:t>,</w:t>
      </w:r>
      <w:r w:rsidR="00A44FDA">
        <w:t xml:space="preserve"> the following</w:t>
      </w:r>
      <w:r w:rsidR="00B74D07">
        <w:t xml:space="preserve"> topics</w:t>
      </w:r>
      <w:r w:rsidR="00A44FDA">
        <w:t>:</w:t>
      </w:r>
    </w:p>
    <w:p w14:paraId="72E934C2" w14:textId="77777777" w:rsidR="00495503" w:rsidRPr="00495503" w:rsidRDefault="00495503" w:rsidP="00495503">
      <w:pPr>
        <w:rPr>
          <w:lang w:val="en-US"/>
        </w:rPr>
      </w:pPr>
    </w:p>
    <w:tbl>
      <w:tblPr>
        <w:tblStyle w:val="Tabellrutenett"/>
        <w:tblW w:w="0" w:type="auto"/>
        <w:tblLook w:val="04A0" w:firstRow="1" w:lastRow="0" w:firstColumn="1" w:lastColumn="0" w:noHBand="0" w:noVBand="1"/>
      </w:tblPr>
      <w:tblGrid>
        <w:gridCol w:w="3397"/>
        <w:gridCol w:w="5665"/>
      </w:tblGrid>
      <w:tr w:rsidR="008B717D" w14:paraId="3C214032" w14:textId="77777777" w:rsidTr="15897A9E">
        <w:tc>
          <w:tcPr>
            <w:tcW w:w="3397" w:type="dxa"/>
            <w:shd w:val="clear" w:color="auto" w:fill="AEAAAA" w:themeFill="background2" w:themeFillShade="BF"/>
          </w:tcPr>
          <w:p w14:paraId="160F0FD5" w14:textId="07BC24D5" w:rsidR="008B717D" w:rsidRDefault="008B717D" w:rsidP="002D0945">
            <w:r>
              <w:t>Main topic</w:t>
            </w:r>
          </w:p>
        </w:tc>
        <w:tc>
          <w:tcPr>
            <w:tcW w:w="5665" w:type="dxa"/>
            <w:shd w:val="clear" w:color="auto" w:fill="AEAAAA" w:themeFill="background2" w:themeFillShade="BF"/>
          </w:tcPr>
          <w:p w14:paraId="5ADF1B25" w14:textId="1A0B291C" w:rsidR="008B717D" w:rsidRDefault="008B717D" w:rsidP="002D0945">
            <w:r>
              <w:t>Elements within</w:t>
            </w:r>
            <w:r w:rsidR="00C15E07">
              <w:t xml:space="preserve"> topic</w:t>
            </w:r>
          </w:p>
        </w:tc>
      </w:tr>
      <w:tr w:rsidR="008B717D" w14:paraId="7769513E" w14:textId="77777777" w:rsidTr="15897A9E">
        <w:tc>
          <w:tcPr>
            <w:tcW w:w="3397" w:type="dxa"/>
          </w:tcPr>
          <w:p w14:paraId="62A88B43" w14:textId="4D75CDDF" w:rsidR="008B717D" w:rsidRDefault="00C15E07" w:rsidP="002D0945">
            <w:r>
              <w:t>Parties</w:t>
            </w:r>
            <w:r w:rsidR="002C0E1C">
              <w:t>’</w:t>
            </w:r>
            <w:r>
              <w:t xml:space="preserve"> overall performance</w:t>
            </w:r>
          </w:p>
        </w:tc>
        <w:tc>
          <w:tcPr>
            <w:tcW w:w="5665" w:type="dxa"/>
          </w:tcPr>
          <w:p w14:paraId="6005F03E" w14:textId="1C2A3074" w:rsidR="008B717D" w:rsidRDefault="00C15E07" w:rsidP="00C15E07">
            <w:pPr>
              <w:pStyle w:val="Listeavsnitt"/>
              <w:numPr>
                <w:ilvl w:val="0"/>
                <w:numId w:val="5"/>
              </w:numPr>
            </w:pPr>
            <w:r>
              <w:t>Utilisation</w:t>
            </w:r>
            <w:r w:rsidR="003E331E">
              <w:t>, including implementation, of the services</w:t>
            </w:r>
          </w:p>
          <w:p w14:paraId="4F1ACA59" w14:textId="1355B400" w:rsidR="003E331E" w:rsidRDefault="003E331E" w:rsidP="00C15E07">
            <w:pPr>
              <w:pStyle w:val="Listeavsnitt"/>
              <w:numPr>
                <w:ilvl w:val="0"/>
                <w:numId w:val="5"/>
              </w:numPr>
            </w:pPr>
            <w:r>
              <w:t>Customer success - status</w:t>
            </w:r>
          </w:p>
          <w:p w14:paraId="0C742FA7" w14:textId="7DF8DBF2" w:rsidR="00C15E07" w:rsidRDefault="00C15E07" w:rsidP="00C15E07">
            <w:pPr>
              <w:pStyle w:val="Listeavsnitt"/>
              <w:numPr>
                <w:ilvl w:val="0"/>
                <w:numId w:val="5"/>
              </w:numPr>
            </w:pPr>
            <w:r>
              <w:t>Areas of improvement</w:t>
            </w:r>
          </w:p>
          <w:p w14:paraId="33137BBA" w14:textId="32850D4D" w:rsidR="00C15E07" w:rsidRDefault="00706EE3" w:rsidP="00C15E07">
            <w:pPr>
              <w:pStyle w:val="Listeavsnitt"/>
              <w:numPr>
                <w:ilvl w:val="0"/>
                <w:numId w:val="5"/>
              </w:numPr>
            </w:pPr>
            <w:r>
              <w:t>Commercial development</w:t>
            </w:r>
          </w:p>
          <w:p w14:paraId="5057B091" w14:textId="77777777" w:rsidR="00706EE3" w:rsidRDefault="00706EE3" w:rsidP="00C15E07">
            <w:pPr>
              <w:pStyle w:val="Listeavsnitt"/>
              <w:numPr>
                <w:ilvl w:val="0"/>
                <w:numId w:val="5"/>
              </w:numPr>
            </w:pPr>
            <w:r>
              <w:t>Legal developments</w:t>
            </w:r>
          </w:p>
          <w:p w14:paraId="4B3ED20A" w14:textId="456886CE" w:rsidR="00706EE3" w:rsidRDefault="00706EE3" w:rsidP="00C15E07">
            <w:pPr>
              <w:pStyle w:val="Listeavsnitt"/>
              <w:numPr>
                <w:ilvl w:val="0"/>
                <w:numId w:val="5"/>
              </w:numPr>
            </w:pPr>
            <w:r>
              <w:t xml:space="preserve">Data </w:t>
            </w:r>
            <w:r w:rsidR="00333138">
              <w:t>p</w:t>
            </w:r>
            <w:r>
              <w:t>rotection developments</w:t>
            </w:r>
          </w:p>
          <w:p w14:paraId="02AEBEDC" w14:textId="77777777" w:rsidR="006A5489" w:rsidRDefault="006A5489" w:rsidP="00C15E07">
            <w:pPr>
              <w:pStyle w:val="Listeavsnitt"/>
              <w:numPr>
                <w:ilvl w:val="0"/>
                <w:numId w:val="5"/>
              </w:numPr>
            </w:pPr>
            <w:r>
              <w:t xml:space="preserve">Performance </w:t>
            </w:r>
            <w:r w:rsidR="00333138">
              <w:t>i</w:t>
            </w:r>
            <w:r>
              <w:t>ndicator</w:t>
            </w:r>
            <w:r w:rsidR="00600E65">
              <w:t xml:space="preserve">s, performance </w:t>
            </w:r>
            <w:r w:rsidR="00562804">
              <w:t>and content</w:t>
            </w:r>
          </w:p>
          <w:p w14:paraId="3CCB3BF5" w14:textId="77777777" w:rsidR="005A1008" w:rsidRDefault="00244DD2" w:rsidP="00C15E07">
            <w:pPr>
              <w:pStyle w:val="Listeavsnitt"/>
              <w:numPr>
                <w:ilvl w:val="0"/>
                <w:numId w:val="5"/>
              </w:numPr>
            </w:pPr>
            <w:r>
              <w:t>Management Information report</w:t>
            </w:r>
          </w:p>
          <w:p w14:paraId="76F38604" w14:textId="793BC4B5" w:rsidR="002C2160" w:rsidRDefault="002C2160" w:rsidP="00C15E07">
            <w:pPr>
              <w:pStyle w:val="Listeavsnitt"/>
              <w:numPr>
                <w:ilvl w:val="0"/>
                <w:numId w:val="5"/>
              </w:numPr>
            </w:pPr>
            <w:r>
              <w:lastRenderedPageBreak/>
              <w:t>Financial reports</w:t>
            </w:r>
          </w:p>
        </w:tc>
      </w:tr>
      <w:tr w:rsidR="0013438A" w14:paraId="06E630A1" w14:textId="77777777" w:rsidTr="009411D9">
        <w:trPr>
          <w:trHeight w:val="600"/>
        </w:trPr>
        <w:tc>
          <w:tcPr>
            <w:tcW w:w="3397" w:type="dxa"/>
          </w:tcPr>
          <w:p w14:paraId="45F52577" w14:textId="7BA88EA1" w:rsidR="0013438A" w:rsidRDefault="00B503F8" w:rsidP="002D0945">
            <w:r>
              <w:lastRenderedPageBreak/>
              <w:t xml:space="preserve">Company </w:t>
            </w:r>
            <w:r w:rsidR="003C533F">
              <w:t>update and strategic risk</w:t>
            </w:r>
          </w:p>
        </w:tc>
        <w:tc>
          <w:tcPr>
            <w:tcW w:w="5665" w:type="dxa"/>
          </w:tcPr>
          <w:p w14:paraId="101B023F" w14:textId="009AEF40" w:rsidR="0013438A" w:rsidRDefault="003C533F" w:rsidP="0013438A">
            <w:pPr>
              <w:pStyle w:val="Listeavsnitt"/>
              <w:numPr>
                <w:ilvl w:val="0"/>
                <w:numId w:val="12"/>
              </w:numPr>
            </w:pPr>
            <w:r>
              <w:t>Company update and strategic risk</w:t>
            </w:r>
            <w:r w:rsidR="002C2160">
              <w:t xml:space="preserve">, including ownership, IPOs, </w:t>
            </w:r>
            <w:r w:rsidR="0025726A">
              <w:t>and change of control scenarios</w:t>
            </w:r>
          </w:p>
          <w:p w14:paraId="68AB18E0" w14:textId="219CF786" w:rsidR="00293027" w:rsidRDefault="000A11AA" w:rsidP="0013438A">
            <w:pPr>
              <w:pStyle w:val="Listeavsnitt"/>
              <w:numPr>
                <w:ilvl w:val="0"/>
                <w:numId w:val="12"/>
              </w:numPr>
            </w:pPr>
            <w:r>
              <w:t>R</w:t>
            </w:r>
            <w:r w:rsidR="00293027">
              <w:t>oadmap</w:t>
            </w:r>
          </w:p>
        </w:tc>
      </w:tr>
      <w:tr w:rsidR="008B717D" w14:paraId="6F204598" w14:textId="77777777" w:rsidTr="15897A9E">
        <w:tc>
          <w:tcPr>
            <w:tcW w:w="3397" w:type="dxa"/>
          </w:tcPr>
          <w:p w14:paraId="1E5EB93A" w14:textId="7C665569" w:rsidR="008B717D" w:rsidRDefault="00A21DBF" w:rsidP="002D0945">
            <w:r>
              <w:t>Information security</w:t>
            </w:r>
            <w:r w:rsidR="00D75B1B">
              <w:t xml:space="preserve"> risks</w:t>
            </w:r>
          </w:p>
        </w:tc>
        <w:tc>
          <w:tcPr>
            <w:tcW w:w="5665" w:type="dxa"/>
          </w:tcPr>
          <w:p w14:paraId="4CD0F74F" w14:textId="426353C2" w:rsidR="008B717D" w:rsidRDefault="00A21DBF" w:rsidP="00D75B1B">
            <w:pPr>
              <w:pStyle w:val="Listeavsnitt"/>
              <w:numPr>
                <w:ilvl w:val="0"/>
                <w:numId w:val="6"/>
              </w:numPr>
            </w:pPr>
            <w:r>
              <w:t>Information security</w:t>
            </w:r>
            <w:r w:rsidR="00D75B1B">
              <w:t xml:space="preserve"> risks</w:t>
            </w:r>
            <w:r w:rsidR="00AC4897">
              <w:t xml:space="preserve"> and vulnerabilities</w:t>
            </w:r>
          </w:p>
          <w:p w14:paraId="01430552" w14:textId="7E86A2DE" w:rsidR="000533FF" w:rsidRDefault="000533FF" w:rsidP="00D75B1B">
            <w:pPr>
              <w:pStyle w:val="Listeavsnitt"/>
              <w:numPr>
                <w:ilvl w:val="0"/>
                <w:numId w:val="6"/>
              </w:numPr>
            </w:pPr>
            <w:r>
              <w:t xml:space="preserve">General </w:t>
            </w:r>
            <w:r w:rsidR="0025726A">
              <w:t xml:space="preserve">global </w:t>
            </w:r>
            <w:r>
              <w:t>security situation</w:t>
            </w:r>
          </w:p>
          <w:p w14:paraId="7A55E396" w14:textId="3F3684BD" w:rsidR="000533FF" w:rsidRDefault="000533FF" w:rsidP="00D75B1B">
            <w:pPr>
              <w:pStyle w:val="Listeavsnitt"/>
              <w:numPr>
                <w:ilvl w:val="0"/>
                <w:numId w:val="6"/>
              </w:numPr>
            </w:pPr>
            <w:r>
              <w:t>Special security situation for Norway</w:t>
            </w:r>
            <w:r w:rsidR="0025726A">
              <w:t xml:space="preserve"> with emphasis on the public sector</w:t>
            </w:r>
          </w:p>
          <w:p w14:paraId="6D845ECD" w14:textId="160AD926" w:rsidR="00D75B1B" w:rsidRDefault="000E5119" w:rsidP="00D75B1B">
            <w:pPr>
              <w:pStyle w:val="Listeavsnitt"/>
              <w:numPr>
                <w:ilvl w:val="0"/>
                <w:numId w:val="6"/>
              </w:numPr>
            </w:pPr>
            <w:r>
              <w:t>Evolving the security reference architecture to accommodate changes in the cybersecurity threats and risk landscape</w:t>
            </w:r>
            <w:r w:rsidR="00694421">
              <w:t>, including amendments to the contract</w:t>
            </w:r>
          </w:p>
          <w:p w14:paraId="32F4A9BB" w14:textId="74017998" w:rsidR="00AC4897" w:rsidRDefault="00AC4897" w:rsidP="00D75B1B">
            <w:pPr>
              <w:pStyle w:val="Listeavsnitt"/>
              <w:numPr>
                <w:ilvl w:val="0"/>
                <w:numId w:val="6"/>
              </w:numPr>
            </w:pPr>
            <w:r>
              <w:t>Information security incidents</w:t>
            </w:r>
            <w:r w:rsidR="00694421">
              <w:t xml:space="preserve"> and reporting mechanisms</w:t>
            </w:r>
          </w:p>
        </w:tc>
      </w:tr>
      <w:tr w:rsidR="008B717D" w14:paraId="53059591" w14:textId="77777777" w:rsidTr="15897A9E">
        <w:tc>
          <w:tcPr>
            <w:tcW w:w="3397" w:type="dxa"/>
          </w:tcPr>
          <w:p w14:paraId="441AD02E" w14:textId="3A775E57" w:rsidR="008B717D" w:rsidRDefault="28DD66CB" w:rsidP="002D0945">
            <w:r>
              <w:t xml:space="preserve">Social and environmental </w:t>
            </w:r>
          </w:p>
        </w:tc>
        <w:tc>
          <w:tcPr>
            <w:tcW w:w="5665" w:type="dxa"/>
          </w:tcPr>
          <w:p w14:paraId="67774571" w14:textId="1C8E9852" w:rsidR="26510F2B" w:rsidRDefault="26510F2B" w:rsidP="021C3F65">
            <w:r>
              <w:t>Status and forecast</w:t>
            </w:r>
          </w:p>
          <w:p w14:paraId="5FAABCB5" w14:textId="1C3DC22D" w:rsidR="008B717D" w:rsidRDefault="3AF30624" w:rsidP="00E67589">
            <w:pPr>
              <w:pStyle w:val="Listeavsnitt"/>
              <w:numPr>
                <w:ilvl w:val="0"/>
                <w:numId w:val="8"/>
              </w:numPr>
            </w:pPr>
            <w:r>
              <w:t xml:space="preserve">Social </w:t>
            </w:r>
            <w:r w:rsidR="00CA6AE6">
              <w:t>requirements</w:t>
            </w:r>
          </w:p>
          <w:p w14:paraId="53B14735" w14:textId="084EFAF6" w:rsidR="008B717D" w:rsidRDefault="51E57DAB" w:rsidP="00E67589">
            <w:pPr>
              <w:pStyle w:val="Listeavsnitt"/>
              <w:numPr>
                <w:ilvl w:val="0"/>
                <w:numId w:val="8"/>
              </w:numPr>
            </w:pPr>
            <w:r>
              <w:t>E</w:t>
            </w:r>
            <w:r w:rsidR="3AF30624">
              <w:t xml:space="preserve">nvironmental </w:t>
            </w:r>
            <w:r w:rsidR="00CA6AE6">
              <w:t>requirements</w:t>
            </w:r>
            <w:r w:rsidR="3AF30624">
              <w:t xml:space="preserve"> </w:t>
            </w:r>
          </w:p>
        </w:tc>
      </w:tr>
    </w:tbl>
    <w:p w14:paraId="397DE077" w14:textId="77777777" w:rsidR="00A44FDA" w:rsidRDefault="00A44FDA" w:rsidP="002D0945"/>
    <w:p w14:paraId="14F9B4ED" w14:textId="2ED35975" w:rsidR="00605DF3" w:rsidRPr="000E2C41" w:rsidRDefault="00605DF3" w:rsidP="0013210B">
      <w:pPr>
        <w:pStyle w:val="Overskrift2a"/>
      </w:pPr>
      <w:r>
        <w:t>Market development</w:t>
      </w:r>
    </w:p>
    <w:p w14:paraId="29304DD5" w14:textId="4A1796AF" w:rsidR="00605DF3" w:rsidRDefault="0E8FFDF2" w:rsidP="00D96B9B">
      <w:pPr>
        <w:pStyle w:val="Overskrift3"/>
      </w:pPr>
      <w:r>
        <w:t xml:space="preserve">Without regard to this Framework Agreement being a fixed price contract, </w:t>
      </w:r>
      <w:r w:rsidR="2F9BA4EF">
        <w:t>t</w:t>
      </w:r>
      <w:r w:rsidR="6E3CA6B6">
        <w:t xml:space="preserve">he Supplier shall keep DFØ informed of any developments, events and/or issues that will have an impact on costs </w:t>
      </w:r>
      <w:r w:rsidR="37EE2194">
        <w:t xml:space="preserve">connected with </w:t>
      </w:r>
      <w:r w:rsidR="6E3CA6B6">
        <w:t xml:space="preserve">the Services to be provided under </w:t>
      </w:r>
      <w:r w:rsidR="0D4F953A">
        <w:t>the</w:t>
      </w:r>
      <w:r w:rsidR="6E3CA6B6">
        <w:t xml:space="preserve"> Framework Agreement. </w:t>
      </w:r>
      <w:r w:rsidR="2A996EB0">
        <w:t xml:space="preserve">Such </w:t>
      </w:r>
      <w:r w:rsidR="7EF1AD48">
        <w:t>information</w:t>
      </w:r>
      <w:r w:rsidR="6E3CA6B6">
        <w:t xml:space="preserve"> will form part of Supplier Meetings. More urgent developments </w:t>
      </w:r>
      <w:r w:rsidR="15F81F4D">
        <w:t>shall be notified to DFØ</w:t>
      </w:r>
      <w:r w:rsidR="6E3CA6B6">
        <w:t xml:space="preserve"> without undue delay.</w:t>
      </w:r>
    </w:p>
    <w:p w14:paraId="44256CC2" w14:textId="77777777" w:rsidR="00007D7C" w:rsidRDefault="00007D7C" w:rsidP="00007D7C">
      <w:pPr>
        <w:pStyle w:val="Overskrift1"/>
      </w:pPr>
      <w:r>
        <w:t>Reporting</w:t>
      </w:r>
    </w:p>
    <w:p w14:paraId="6ACA2A69" w14:textId="2B21A5F2" w:rsidR="00007D7C" w:rsidRDefault="33663A40" w:rsidP="00007D7C">
      <w:pPr>
        <w:pStyle w:val="Overskrift2"/>
      </w:pPr>
      <w:r>
        <w:t>The Supplier shall provide DFØ with Management Information Reports on the template set out in the Framework Agreement’s Attachment 3.1 (Template for Management Information Report) once every three months. The Management Information Report shall be completed</w:t>
      </w:r>
      <w:r w:rsidR="09FE59E9">
        <w:t xml:space="preserve"> </w:t>
      </w:r>
      <w:r>
        <w:t>and returned electronically to DFØ within the 10</w:t>
      </w:r>
      <w:r w:rsidRPr="79F8F4DF">
        <w:rPr>
          <w:vertAlign w:val="superscript"/>
        </w:rPr>
        <w:t>th</w:t>
      </w:r>
      <w:r>
        <w:t xml:space="preserve"> of the first month in each quarter. </w:t>
      </w:r>
    </w:p>
    <w:p w14:paraId="68C9F979" w14:textId="77777777" w:rsidR="00007D7C" w:rsidRDefault="00007D7C" w:rsidP="00007D7C">
      <w:pPr>
        <w:pStyle w:val="Overskrift2"/>
      </w:pPr>
      <w:r>
        <w:t>DFØ may at any time change the content of the Template for Management Information Report by written notice.</w:t>
      </w:r>
    </w:p>
    <w:p w14:paraId="3EC0D29A" w14:textId="6D1D682B" w:rsidR="00007D7C" w:rsidRPr="00007D7C" w:rsidRDefault="33663A40" w:rsidP="00007D7C">
      <w:pPr>
        <w:pStyle w:val="Overskrift2"/>
      </w:pPr>
      <w:r>
        <w:t>The reporting shall be delivered on a format that makes the data easy for DFØ to use in the administration of the Framework Agreement, and for its own reporting purposes. This may entail the need to receive Management Information Reports on different formats. DFØ may change the</w:t>
      </w:r>
      <w:r w:rsidR="536E3159">
        <w:t xml:space="preserve"> required</w:t>
      </w:r>
      <w:r>
        <w:t xml:space="preserve"> format of the Management Information Report and the reporting method throughout the Term of the Framework Agreement. </w:t>
      </w:r>
      <w:r w:rsidR="708ADBF7">
        <w:t>The c</w:t>
      </w:r>
      <w:r w:rsidR="5C8713C0">
        <w:t>urrent reporting format is csv/Excel.</w:t>
      </w:r>
    </w:p>
    <w:p w14:paraId="5FD89D62" w14:textId="0939866F" w:rsidR="00F6305F" w:rsidRDefault="002D1064" w:rsidP="00D53D1E">
      <w:pPr>
        <w:pStyle w:val="Overskrift1"/>
      </w:pPr>
      <w:r>
        <w:t>Performance indicators</w:t>
      </w:r>
    </w:p>
    <w:p w14:paraId="0FBA4DA1" w14:textId="6348A46A" w:rsidR="002D1064" w:rsidRDefault="009B5F36" w:rsidP="00491104">
      <w:pPr>
        <w:pStyle w:val="Overskrift2"/>
      </w:pPr>
      <w:r>
        <w:t xml:space="preserve">The Supplier shall comply with the </w:t>
      </w:r>
      <w:r w:rsidR="00425A0F">
        <w:t>p</w:t>
      </w:r>
      <w:r>
        <w:t xml:space="preserve">erformance </w:t>
      </w:r>
      <w:r w:rsidR="00425A0F">
        <w:t>i</w:t>
      </w:r>
      <w:r>
        <w:t xml:space="preserve">ndicators </w:t>
      </w:r>
      <w:r w:rsidR="00425A0F">
        <w:t xml:space="preserve">listed in the table </w:t>
      </w:r>
      <w:r w:rsidR="0000380C">
        <w:t xml:space="preserve">below </w:t>
      </w:r>
      <w:r w:rsidR="00DD564B">
        <w:t>(“</w:t>
      </w:r>
      <w:r w:rsidRPr="009A71D9">
        <w:rPr>
          <w:b/>
        </w:rPr>
        <w:t>Performance Indicators</w:t>
      </w:r>
      <w:r w:rsidR="00DD564B">
        <w:t>”)</w:t>
      </w:r>
      <w:r>
        <w:t xml:space="preserve"> and establish processes to monitor its performance against them</w:t>
      </w:r>
      <w:r w:rsidR="00F73612">
        <w:t>:</w:t>
      </w:r>
    </w:p>
    <w:tbl>
      <w:tblPr>
        <w:tblStyle w:val="Tabellrutenett"/>
        <w:tblW w:w="0" w:type="auto"/>
        <w:tblLook w:val="04A0" w:firstRow="1" w:lastRow="0" w:firstColumn="1" w:lastColumn="0" w:noHBand="0" w:noVBand="1"/>
      </w:tblPr>
      <w:tblGrid>
        <w:gridCol w:w="3823"/>
        <w:gridCol w:w="2218"/>
        <w:gridCol w:w="3021"/>
      </w:tblGrid>
      <w:tr w:rsidR="009E264F" w14:paraId="4B6656F2" w14:textId="77777777" w:rsidTr="6621FD83">
        <w:tc>
          <w:tcPr>
            <w:tcW w:w="3823" w:type="dxa"/>
            <w:shd w:val="clear" w:color="auto" w:fill="AEAAAA" w:themeFill="background2" w:themeFillShade="BF"/>
          </w:tcPr>
          <w:p w14:paraId="2CEBA2A3" w14:textId="5F69D3EF" w:rsidR="009E264F" w:rsidRDefault="008F6314" w:rsidP="002D1064">
            <w:r>
              <w:t>Performance Indicator</w:t>
            </w:r>
          </w:p>
        </w:tc>
        <w:tc>
          <w:tcPr>
            <w:tcW w:w="2218" w:type="dxa"/>
            <w:shd w:val="clear" w:color="auto" w:fill="AEAAAA" w:themeFill="background2" w:themeFillShade="BF"/>
          </w:tcPr>
          <w:p w14:paraId="66CB0853" w14:textId="4477594B" w:rsidR="009E264F" w:rsidRDefault="008F6314" w:rsidP="002D1064">
            <w:r>
              <w:t>PI Target</w:t>
            </w:r>
            <w:r w:rsidR="00BE3E4B">
              <w:t xml:space="preserve"> (%)</w:t>
            </w:r>
          </w:p>
        </w:tc>
        <w:tc>
          <w:tcPr>
            <w:tcW w:w="3021" w:type="dxa"/>
            <w:shd w:val="clear" w:color="auto" w:fill="AEAAAA" w:themeFill="background2" w:themeFillShade="BF"/>
          </w:tcPr>
          <w:p w14:paraId="160B5270" w14:textId="0892A1A9" w:rsidR="009E264F" w:rsidRDefault="008F6314" w:rsidP="002D1064">
            <w:r>
              <w:t>Measured by</w:t>
            </w:r>
          </w:p>
        </w:tc>
      </w:tr>
      <w:tr w:rsidR="00C62B80" w14:paraId="1E770EBE" w14:textId="77777777" w:rsidTr="6621FD83">
        <w:tc>
          <w:tcPr>
            <w:tcW w:w="3823" w:type="dxa"/>
          </w:tcPr>
          <w:p w14:paraId="765950A2" w14:textId="08A5AADF" w:rsidR="00C62B80" w:rsidRDefault="00C62B80" w:rsidP="002D1064">
            <w:r>
              <w:t>Customer satisfaction</w:t>
            </w:r>
          </w:p>
        </w:tc>
        <w:tc>
          <w:tcPr>
            <w:tcW w:w="2218" w:type="dxa"/>
          </w:tcPr>
          <w:p w14:paraId="5B7760A5" w14:textId="4CA6958F" w:rsidR="00C62B80" w:rsidRDefault="00DF169B" w:rsidP="002D1064">
            <w:r>
              <w:t>90</w:t>
            </w:r>
          </w:p>
        </w:tc>
        <w:tc>
          <w:tcPr>
            <w:tcW w:w="3021" w:type="dxa"/>
          </w:tcPr>
          <w:p w14:paraId="0DC37548" w14:textId="3B844E25" w:rsidR="00C62B80" w:rsidRDefault="00DF169B" w:rsidP="002D1064">
            <w:r>
              <w:t xml:space="preserve">Yearly questionnaire </w:t>
            </w:r>
            <w:r w:rsidR="00A17ED4">
              <w:t>by the Supplier to the Customers</w:t>
            </w:r>
          </w:p>
        </w:tc>
      </w:tr>
      <w:tr w:rsidR="009E264F" w14:paraId="4D031B34" w14:textId="77777777" w:rsidTr="6621FD83">
        <w:tc>
          <w:tcPr>
            <w:tcW w:w="3823" w:type="dxa"/>
          </w:tcPr>
          <w:p w14:paraId="7A984CED" w14:textId="054C761C" w:rsidR="009E264F" w:rsidRDefault="73CEB8AB" w:rsidP="002D1064">
            <w:r>
              <w:t xml:space="preserve">Management Information Report returns: All reports shall be returned to </w:t>
            </w:r>
            <w:r>
              <w:lastRenderedPageBreak/>
              <w:t xml:space="preserve">DFØ by the </w:t>
            </w:r>
            <w:r w:rsidR="02F8A079">
              <w:t>10</w:t>
            </w:r>
            <w:r w:rsidR="02F8A079" w:rsidRPr="79F8F4DF">
              <w:rPr>
                <w:vertAlign w:val="superscript"/>
              </w:rPr>
              <w:t>th</w:t>
            </w:r>
            <w:r w:rsidR="02F8A079">
              <w:t xml:space="preserve"> of </w:t>
            </w:r>
            <w:r w:rsidR="759C2E5B">
              <w:t xml:space="preserve">the first </w:t>
            </w:r>
            <w:r w:rsidR="714A2E4E">
              <w:t>m</w:t>
            </w:r>
            <w:r w:rsidR="02F8A079">
              <w:t>onth</w:t>
            </w:r>
            <w:r w:rsidR="6F0186BB">
              <w:t xml:space="preserve"> in each quarter</w:t>
            </w:r>
          </w:p>
        </w:tc>
        <w:tc>
          <w:tcPr>
            <w:tcW w:w="2218" w:type="dxa"/>
          </w:tcPr>
          <w:p w14:paraId="3FCC2519" w14:textId="43EE9754" w:rsidR="009E264F" w:rsidRDefault="00BE3E4B" w:rsidP="002D1064">
            <w:r>
              <w:lastRenderedPageBreak/>
              <w:t>100</w:t>
            </w:r>
          </w:p>
        </w:tc>
        <w:tc>
          <w:tcPr>
            <w:tcW w:w="3021" w:type="dxa"/>
          </w:tcPr>
          <w:p w14:paraId="15B7F372" w14:textId="3FCD699B" w:rsidR="009E264F" w:rsidRDefault="009E264F" w:rsidP="002D1064"/>
        </w:tc>
      </w:tr>
      <w:tr w:rsidR="009E264F" w14:paraId="72980C8E" w14:textId="77777777" w:rsidTr="6621FD83">
        <w:tc>
          <w:tcPr>
            <w:tcW w:w="3823" w:type="dxa"/>
          </w:tcPr>
          <w:p w14:paraId="0B377BFA" w14:textId="28C0EC79" w:rsidR="009E264F" w:rsidRDefault="52FCA1C5" w:rsidP="002D1064">
            <w:r>
              <w:t xml:space="preserve">Actions identified in an </w:t>
            </w:r>
            <w:r w:rsidR="0C60472D">
              <w:t>a</w:t>
            </w:r>
            <w:r>
              <w:t xml:space="preserve">udit </w:t>
            </w:r>
            <w:r w:rsidR="5EACB832">
              <w:t>r</w:t>
            </w:r>
            <w:r>
              <w:t xml:space="preserve">eport to be delivered by the dates set out in the </w:t>
            </w:r>
            <w:r w:rsidR="31DB873C">
              <w:t>a</w:t>
            </w:r>
            <w:r>
              <w:t xml:space="preserve">udit </w:t>
            </w:r>
            <w:r w:rsidR="4C24AF3A">
              <w:t>r</w:t>
            </w:r>
            <w:r>
              <w:t>eport</w:t>
            </w:r>
          </w:p>
        </w:tc>
        <w:tc>
          <w:tcPr>
            <w:tcW w:w="2218" w:type="dxa"/>
          </w:tcPr>
          <w:p w14:paraId="6A9BD061" w14:textId="429EC6D6" w:rsidR="009E264F" w:rsidRDefault="00F51BB3" w:rsidP="002D1064">
            <w:r>
              <w:t>95</w:t>
            </w:r>
          </w:p>
        </w:tc>
        <w:tc>
          <w:tcPr>
            <w:tcW w:w="3021" w:type="dxa"/>
          </w:tcPr>
          <w:p w14:paraId="7695F9AB" w14:textId="1F9D2912" w:rsidR="009E264F" w:rsidRDefault="4E475EE8" w:rsidP="002D1064">
            <w:r>
              <w:t>D</w:t>
            </w:r>
            <w:r w:rsidR="00833B93">
              <w:t xml:space="preserve">ates identified in the </w:t>
            </w:r>
            <w:r w:rsidR="000E56BD">
              <w:t>a</w:t>
            </w:r>
            <w:r w:rsidR="00833B93">
              <w:t xml:space="preserve">udit </w:t>
            </w:r>
            <w:r w:rsidR="000E56BD">
              <w:t>r</w:t>
            </w:r>
            <w:r w:rsidR="00833B93">
              <w:t>eport</w:t>
            </w:r>
          </w:p>
        </w:tc>
      </w:tr>
      <w:tr w:rsidR="009E264F" w14:paraId="684EB895" w14:textId="77777777" w:rsidTr="6621FD83">
        <w:tc>
          <w:tcPr>
            <w:tcW w:w="3823" w:type="dxa"/>
          </w:tcPr>
          <w:p w14:paraId="4E26921B" w14:textId="5C7807D0" w:rsidR="009E264F" w:rsidRDefault="00833B93" w:rsidP="002D1064">
            <w:r>
              <w:t xml:space="preserve">Supplier to report metrics for </w:t>
            </w:r>
            <w:r w:rsidR="003F5E33">
              <w:t>s</w:t>
            </w:r>
            <w:r>
              <w:t xml:space="preserve">ocial </w:t>
            </w:r>
            <w:r w:rsidR="003F5E33">
              <w:t>v</w:t>
            </w:r>
            <w:r>
              <w:t xml:space="preserve">alue and </w:t>
            </w:r>
            <w:r w:rsidR="003F5E33">
              <w:t>e</w:t>
            </w:r>
            <w:r>
              <w:t>nvironmental initiatives</w:t>
            </w:r>
          </w:p>
        </w:tc>
        <w:tc>
          <w:tcPr>
            <w:tcW w:w="2218" w:type="dxa"/>
          </w:tcPr>
          <w:p w14:paraId="38BFECA7" w14:textId="00D71A00" w:rsidR="009E264F" w:rsidRDefault="00974804" w:rsidP="002D1064">
            <w:r>
              <w:t>100</w:t>
            </w:r>
          </w:p>
        </w:tc>
        <w:tc>
          <w:tcPr>
            <w:tcW w:w="3021" w:type="dxa"/>
          </w:tcPr>
          <w:p w14:paraId="35E68A27" w14:textId="39B9DAFE" w:rsidR="009E264F" w:rsidRDefault="1229A1DA" w:rsidP="002D1064">
            <w:r>
              <w:t>(Metrics to be advised by Supplier)</w:t>
            </w:r>
          </w:p>
        </w:tc>
      </w:tr>
      <w:tr w:rsidR="00974804" w14:paraId="0266B673" w14:textId="77777777" w:rsidTr="6621FD83">
        <w:tc>
          <w:tcPr>
            <w:tcW w:w="3823" w:type="dxa"/>
          </w:tcPr>
          <w:p w14:paraId="1A10F72C" w14:textId="4EACCF67" w:rsidR="00974804" w:rsidRDefault="644A57A2" w:rsidP="002D1064">
            <w:r>
              <w:t xml:space="preserve">Provide an annual report on call-off contract variations or extensions </w:t>
            </w:r>
          </w:p>
        </w:tc>
        <w:tc>
          <w:tcPr>
            <w:tcW w:w="2218" w:type="dxa"/>
          </w:tcPr>
          <w:p w14:paraId="17E723FC" w14:textId="3540F619" w:rsidR="00974804" w:rsidRDefault="007228AF" w:rsidP="002D1064">
            <w:r>
              <w:t>100</w:t>
            </w:r>
          </w:p>
        </w:tc>
        <w:tc>
          <w:tcPr>
            <w:tcW w:w="3021" w:type="dxa"/>
          </w:tcPr>
          <w:p w14:paraId="195C3B96" w14:textId="4899BF92" w:rsidR="00974804" w:rsidRDefault="5274A94B" w:rsidP="002D1064">
            <w:r>
              <w:t xml:space="preserve">Supplier </w:t>
            </w:r>
            <w:r w:rsidR="26B60ABB">
              <w:t xml:space="preserve">provision </w:t>
            </w:r>
            <w:r>
              <w:t>of annual update</w:t>
            </w:r>
          </w:p>
        </w:tc>
      </w:tr>
    </w:tbl>
    <w:p w14:paraId="772A82CC" w14:textId="6591BA9E" w:rsidR="00813EF3" w:rsidRDefault="00562804" w:rsidP="00491104">
      <w:pPr>
        <w:pStyle w:val="Overskrift2"/>
      </w:pPr>
      <w:r>
        <w:t xml:space="preserve">DFØ may </w:t>
      </w:r>
      <w:r w:rsidR="00FD4E84">
        <w:t>adjust, introduce new and remo</w:t>
      </w:r>
      <w:r w:rsidR="00B36A18">
        <w:t xml:space="preserve">ve </w:t>
      </w:r>
      <w:r w:rsidR="00FD4E84">
        <w:t xml:space="preserve">Performance Indicators throughout the </w:t>
      </w:r>
      <w:r w:rsidR="008D0106">
        <w:t xml:space="preserve">Term of the </w:t>
      </w:r>
      <w:r w:rsidR="00FD4E84">
        <w:t xml:space="preserve">Framework Agreement. </w:t>
      </w:r>
      <w:r w:rsidR="00B36A18">
        <w:t xml:space="preserve">Significant changes shall be agreed in accordance with the </w:t>
      </w:r>
      <w:r w:rsidR="006347B4">
        <w:t>c</w:t>
      </w:r>
      <w:r w:rsidR="0063739E">
        <w:t>hange procedure set out in the Framework Agreement’s clause 10.</w:t>
      </w:r>
    </w:p>
    <w:p w14:paraId="762DA048" w14:textId="588DBE65" w:rsidR="009E34E6" w:rsidRDefault="009E34E6" w:rsidP="00491104">
      <w:pPr>
        <w:pStyle w:val="Overskrift2"/>
      </w:pPr>
      <w:r>
        <w:t xml:space="preserve">The Supplier shall develop and suggest additional Performance Indicators to ensure that </w:t>
      </w:r>
      <w:r w:rsidR="00514C4D">
        <w:t xml:space="preserve">the </w:t>
      </w:r>
      <w:r>
        <w:t xml:space="preserve">Framework Agreement supports the </w:t>
      </w:r>
      <w:r w:rsidR="009D7766">
        <w:t xml:space="preserve">purpose of the Framework Agreement and </w:t>
      </w:r>
      <w:proofErr w:type="gramStart"/>
      <w:r w:rsidR="009D7766">
        <w:t>MPS as a whole</w:t>
      </w:r>
      <w:proofErr w:type="gramEnd"/>
      <w:r w:rsidR="009D7766">
        <w:t xml:space="preserve">. </w:t>
      </w:r>
    </w:p>
    <w:p w14:paraId="43E99526" w14:textId="725A6C4E" w:rsidR="00A53390" w:rsidRDefault="002577ED" w:rsidP="00D53D1E">
      <w:pPr>
        <w:pStyle w:val="Overskrift1"/>
      </w:pPr>
      <w:r>
        <w:t>Change Procedure</w:t>
      </w:r>
    </w:p>
    <w:p w14:paraId="615B3348" w14:textId="2FB9C8F3" w:rsidR="003B1738" w:rsidRDefault="0013210B" w:rsidP="00384DE0">
      <w:pPr>
        <w:pStyle w:val="Overskrift2a"/>
      </w:pPr>
      <w:r>
        <w:t xml:space="preserve">Change </w:t>
      </w:r>
      <w:r w:rsidR="00D43C1A">
        <w:t>R</w:t>
      </w:r>
      <w:r>
        <w:t>equest</w:t>
      </w:r>
    </w:p>
    <w:p w14:paraId="68596A0F" w14:textId="77777777" w:rsidR="00AA5874" w:rsidRDefault="0013210B" w:rsidP="0013210B">
      <w:pPr>
        <w:pStyle w:val="Overskrift3"/>
      </w:pPr>
      <w:r>
        <w:t>The Parties</w:t>
      </w:r>
      <w:r w:rsidR="00E20BBC">
        <w:t xml:space="preserve"> </w:t>
      </w:r>
      <w:r w:rsidR="00E20BBC" w:rsidRPr="00E20BBC">
        <w:t>may</w:t>
      </w:r>
      <w:r w:rsidR="00D43C1A">
        <w:t>, acting reasonably</w:t>
      </w:r>
      <w:r w:rsidR="00024004">
        <w:t xml:space="preserve">, request a change to this Framework Agreement </w:t>
      </w:r>
      <w:r w:rsidR="00DA5CD6">
        <w:t>by sending a written request to the other Party (“</w:t>
      </w:r>
      <w:r w:rsidR="00DA5CD6" w:rsidRPr="00024004">
        <w:rPr>
          <w:b/>
          <w:bCs/>
        </w:rPr>
        <w:t>Change Request</w:t>
      </w:r>
      <w:r w:rsidR="00DA5CD6">
        <w:t>”)</w:t>
      </w:r>
      <w:r w:rsidR="00A11872">
        <w:t xml:space="preserve">. The written </w:t>
      </w:r>
      <w:r w:rsidR="00E56F55">
        <w:t>request shall include sufficient details to assess the extent of the proposed change and any additional cost that may be incurred, and a reasonable time fram</w:t>
      </w:r>
      <w:r w:rsidR="00AA5874">
        <w:t>e</w:t>
      </w:r>
      <w:r w:rsidR="00E56F55">
        <w:t xml:space="preserve"> for response. </w:t>
      </w:r>
    </w:p>
    <w:p w14:paraId="62E814A6" w14:textId="12EA956D" w:rsidR="00786C8F" w:rsidRDefault="00786C8F" w:rsidP="00786C8F">
      <w:pPr>
        <w:pStyle w:val="Overskrift2a"/>
      </w:pPr>
      <w:bookmarkStart w:id="0" w:name="_Ref148394805"/>
      <w:bookmarkStart w:id="1" w:name="_Ref148388378"/>
      <w:r>
        <w:t>Impact Assessment</w:t>
      </w:r>
      <w:bookmarkEnd w:id="0"/>
    </w:p>
    <w:p w14:paraId="57569D82" w14:textId="73A5D307" w:rsidR="00F95EFD" w:rsidRDefault="00AA5874" w:rsidP="00346C61">
      <w:pPr>
        <w:pStyle w:val="Overskrift3"/>
      </w:pPr>
      <w:r>
        <w:t>Unless otherwise</w:t>
      </w:r>
      <w:r w:rsidR="00192D1E">
        <w:t xml:space="preserve"> specified in the Change Request, the </w:t>
      </w:r>
      <w:r w:rsidR="008005DF">
        <w:t>Supplier</w:t>
      </w:r>
      <w:r w:rsidR="00192D1E">
        <w:t xml:space="preserve"> shall within 10 business days after the receipt of the Change Request</w:t>
      </w:r>
      <w:r w:rsidR="008005DF">
        <w:t xml:space="preserve">, or together with their own </w:t>
      </w:r>
      <w:r w:rsidR="00A972AC">
        <w:t>Change Request,</w:t>
      </w:r>
      <w:r w:rsidR="001A2BA1">
        <w:t xml:space="preserve"> </w:t>
      </w:r>
      <w:proofErr w:type="gramStart"/>
      <w:r w:rsidR="001A2BA1">
        <w:t>conduct an assessment of</w:t>
      </w:r>
      <w:proofErr w:type="gramEnd"/>
      <w:r w:rsidR="001A2BA1">
        <w:t xml:space="preserve"> the risk and</w:t>
      </w:r>
      <w:r w:rsidR="00F95EFD">
        <w:t xml:space="preserve"> consequences of the change and provide a price estimate</w:t>
      </w:r>
      <w:r w:rsidR="00434477">
        <w:t xml:space="preserve"> (“Impact Assessment”)</w:t>
      </w:r>
      <w:r w:rsidR="00F95EFD">
        <w:t>. The assessment shall include at least the following:</w:t>
      </w:r>
      <w:bookmarkEnd w:id="1"/>
    </w:p>
    <w:p w14:paraId="35894F70" w14:textId="55141913" w:rsidR="00346C61" w:rsidRPr="00346C61" w:rsidRDefault="798D185D" w:rsidP="00775422">
      <w:pPr>
        <w:pStyle w:val="Nummerertliste"/>
        <w:numPr>
          <w:ilvl w:val="0"/>
          <w:numId w:val="19"/>
        </w:numPr>
        <w:rPr>
          <w:lang w:val="en-GB"/>
        </w:rPr>
      </w:pPr>
      <w:r w:rsidRPr="79F8F4DF">
        <w:rPr>
          <w:lang w:val="en-GB"/>
        </w:rPr>
        <w:t>d</w:t>
      </w:r>
      <w:r w:rsidR="40D8AEFF" w:rsidRPr="79F8F4DF">
        <w:rPr>
          <w:lang w:val="en-GB"/>
        </w:rPr>
        <w:t>etails of the impact of the proposed Change R</w:t>
      </w:r>
      <w:r w:rsidR="649E204E" w:rsidRPr="79F8F4DF">
        <w:rPr>
          <w:lang w:val="en-GB"/>
        </w:rPr>
        <w:t>e</w:t>
      </w:r>
      <w:r w:rsidR="40D8AEFF" w:rsidRPr="79F8F4DF">
        <w:rPr>
          <w:lang w:val="en-GB"/>
        </w:rPr>
        <w:t>quest</w:t>
      </w:r>
      <w:r w:rsidR="649E204E" w:rsidRPr="79F8F4DF">
        <w:rPr>
          <w:lang w:val="en-GB"/>
        </w:rPr>
        <w:t xml:space="preserve"> on the Services and the Supplier’s ability t</w:t>
      </w:r>
      <w:r w:rsidRPr="79F8F4DF">
        <w:rPr>
          <w:lang w:val="en-GB"/>
        </w:rPr>
        <w:t>o meet its other obligations under the Framework Agreement</w:t>
      </w:r>
      <w:r w:rsidR="1D6D0417" w:rsidRPr="79F8F4DF">
        <w:rPr>
          <w:lang w:val="en-GB"/>
        </w:rPr>
        <w:t xml:space="preserve"> and/or any Call-Off </w:t>
      </w:r>
      <w:proofErr w:type="gramStart"/>
      <w:r w:rsidR="1D6D0417" w:rsidRPr="79F8F4DF">
        <w:rPr>
          <w:lang w:val="en-GB"/>
        </w:rPr>
        <w:t>Contracts</w:t>
      </w:r>
      <w:r w:rsidR="4C2148D6" w:rsidRPr="79F8F4DF">
        <w:rPr>
          <w:lang w:val="en-GB"/>
        </w:rPr>
        <w:t>;</w:t>
      </w:r>
      <w:proofErr w:type="gramEnd"/>
    </w:p>
    <w:p w14:paraId="5E37E849" w14:textId="77777777" w:rsidR="003D7B5E" w:rsidRDefault="003D7B5E" w:rsidP="00775422">
      <w:pPr>
        <w:pStyle w:val="Nummerertliste"/>
        <w:numPr>
          <w:ilvl w:val="0"/>
          <w:numId w:val="19"/>
        </w:numPr>
        <w:rPr>
          <w:lang w:val="en-GB"/>
        </w:rPr>
      </w:pPr>
      <w:r>
        <w:rPr>
          <w:lang w:val="en-GB"/>
        </w:rPr>
        <w:t xml:space="preserve">details of the cost of implementing the proposed Change </w:t>
      </w:r>
      <w:proofErr w:type="gramStart"/>
      <w:r>
        <w:rPr>
          <w:lang w:val="en-GB"/>
        </w:rPr>
        <w:t>Request;</w:t>
      </w:r>
      <w:proofErr w:type="gramEnd"/>
    </w:p>
    <w:p w14:paraId="572F53D2" w14:textId="7DB545C6" w:rsidR="003D7B5E" w:rsidRDefault="003D7B5E" w:rsidP="00775422">
      <w:pPr>
        <w:pStyle w:val="Nummerertliste"/>
        <w:numPr>
          <w:ilvl w:val="0"/>
          <w:numId w:val="19"/>
        </w:numPr>
        <w:rPr>
          <w:lang w:val="en-GB"/>
        </w:rPr>
      </w:pPr>
      <w:r>
        <w:rPr>
          <w:lang w:val="en-GB"/>
        </w:rPr>
        <w:t xml:space="preserve">details of the ongoing costs required by the </w:t>
      </w:r>
      <w:r w:rsidR="006343E8">
        <w:rPr>
          <w:lang w:val="en-GB"/>
        </w:rPr>
        <w:t>proposed Change Request when implemented, including any increase or decrease in the Charges as applicable</w:t>
      </w:r>
      <w:r w:rsidR="00DA29FB">
        <w:rPr>
          <w:lang w:val="en-GB"/>
        </w:rPr>
        <w:t xml:space="preserve">, any alteration in the resources and/or expenditure required by either Party and any alteration to the working practices of either </w:t>
      </w:r>
      <w:proofErr w:type="gramStart"/>
      <w:r w:rsidR="00DA29FB">
        <w:rPr>
          <w:lang w:val="en-GB"/>
        </w:rPr>
        <w:t>Party;</w:t>
      </w:r>
      <w:proofErr w:type="gramEnd"/>
    </w:p>
    <w:p w14:paraId="4F9E2746" w14:textId="7F412F8D" w:rsidR="00DA29FB" w:rsidRDefault="00741F58" w:rsidP="00775422">
      <w:pPr>
        <w:pStyle w:val="Nummerertliste"/>
        <w:numPr>
          <w:ilvl w:val="0"/>
          <w:numId w:val="19"/>
        </w:numPr>
        <w:rPr>
          <w:lang w:val="en-GB"/>
        </w:rPr>
      </w:pPr>
      <w:r>
        <w:rPr>
          <w:lang w:val="en-GB"/>
        </w:rPr>
        <w:t>a timetable for the imple</w:t>
      </w:r>
      <w:r w:rsidR="00BC47E5">
        <w:rPr>
          <w:lang w:val="en-GB"/>
        </w:rPr>
        <w:t>me</w:t>
      </w:r>
      <w:r>
        <w:rPr>
          <w:lang w:val="en-GB"/>
        </w:rPr>
        <w:t>ntation, together with any proposals for the testing of the Change Request; and</w:t>
      </w:r>
    </w:p>
    <w:p w14:paraId="756971E6" w14:textId="49D478CD" w:rsidR="00741F58" w:rsidRDefault="77DF3BB0" w:rsidP="00775422">
      <w:pPr>
        <w:pStyle w:val="Nummerertliste"/>
        <w:numPr>
          <w:ilvl w:val="0"/>
          <w:numId w:val="19"/>
        </w:numPr>
        <w:rPr>
          <w:lang w:val="en-GB"/>
        </w:rPr>
      </w:pPr>
      <w:r w:rsidRPr="79F8F4DF">
        <w:rPr>
          <w:lang w:val="en-GB"/>
        </w:rPr>
        <w:t xml:space="preserve">such other information as </w:t>
      </w:r>
      <w:r w:rsidR="5EEF2ABB" w:rsidRPr="79F8F4DF">
        <w:rPr>
          <w:lang w:val="en-GB"/>
        </w:rPr>
        <w:t xml:space="preserve">DFØ </w:t>
      </w:r>
      <w:r w:rsidR="6315AF28" w:rsidRPr="79F8F4DF">
        <w:rPr>
          <w:lang w:val="en-GB"/>
        </w:rPr>
        <w:t xml:space="preserve">may reasonably request in (or in response to) the </w:t>
      </w:r>
      <w:r w:rsidR="79803C63" w:rsidRPr="79F8F4DF">
        <w:rPr>
          <w:lang w:val="en-GB"/>
        </w:rPr>
        <w:t>Change Request.</w:t>
      </w:r>
    </w:p>
    <w:p w14:paraId="5DB93779" w14:textId="2CF128D4" w:rsidR="00B33A64" w:rsidRDefault="00B33A64" w:rsidP="00B33A64">
      <w:pPr>
        <w:pStyle w:val="Overskrift3"/>
      </w:pPr>
      <w:r>
        <w:t xml:space="preserve">Adjustments of charges shall be calculated based on the hourly rates or other unit prices set out in </w:t>
      </w:r>
      <w:r>
        <w:rPr>
          <w:u w:val="single"/>
        </w:rPr>
        <w:t>Appendix 2</w:t>
      </w:r>
      <w:r>
        <w:t xml:space="preserve"> (</w:t>
      </w:r>
      <w:r>
        <w:rPr>
          <w:i/>
          <w:iCs/>
        </w:rPr>
        <w:t>Charges</w:t>
      </w:r>
      <w:r>
        <w:t>), provided that the work occasioned by the change in essence is comparable to the work for which the hourly rates or unit prices have been specified.</w:t>
      </w:r>
    </w:p>
    <w:p w14:paraId="259212D2" w14:textId="16D47168" w:rsidR="00B33A64" w:rsidRDefault="00B33A64" w:rsidP="00B33A64">
      <w:pPr>
        <w:pStyle w:val="Overskrift3"/>
      </w:pPr>
      <w:r>
        <w:t xml:space="preserve">If </w:t>
      </w:r>
      <w:proofErr w:type="gramStart"/>
      <w:r>
        <w:t>not</w:t>
      </w:r>
      <w:proofErr w:type="gramEnd"/>
      <w:r>
        <w:t xml:space="preserve"> possible to calculate the change based on hourly rates or unit prices in </w:t>
      </w:r>
      <w:r>
        <w:rPr>
          <w:u w:val="single"/>
        </w:rPr>
        <w:t>Appendix 2</w:t>
      </w:r>
      <w:r>
        <w:t xml:space="preserve"> (</w:t>
      </w:r>
      <w:r>
        <w:rPr>
          <w:i/>
          <w:iCs/>
        </w:rPr>
        <w:t>Charges</w:t>
      </w:r>
      <w:r>
        <w:t xml:space="preserve">), the </w:t>
      </w:r>
      <w:r w:rsidR="00A24D27">
        <w:t>Party</w:t>
      </w:r>
      <w:r>
        <w:t xml:space="preserve"> shall in its impact assessment present a quote in respect of the </w:t>
      </w:r>
      <w:r>
        <w:lastRenderedPageBreak/>
        <w:t>addition or deduction for the changes. The offer shall reflect the general price level in this Framework Agreement.</w:t>
      </w:r>
    </w:p>
    <w:p w14:paraId="454E08ED" w14:textId="235CF972" w:rsidR="00B33A64" w:rsidRDefault="00B33A64" w:rsidP="00B33A64">
      <w:pPr>
        <w:pStyle w:val="Overskrift3"/>
        <w:rPr>
          <w:lang w:val="en-GB"/>
        </w:rPr>
      </w:pPr>
      <w:r>
        <w:t xml:space="preserve">The </w:t>
      </w:r>
      <w:r w:rsidR="00A24D27">
        <w:t>Party</w:t>
      </w:r>
      <w:r>
        <w:t xml:space="preserve"> shall in its impact assessment document all costs related to the change, including any adjustments in charges for the Services, the </w:t>
      </w:r>
      <w:r w:rsidR="00F23058">
        <w:t>other Party’s</w:t>
      </w:r>
      <w:r>
        <w:t xml:space="preserve"> use of the Services and other services that are affected by the change and an estimate for the Party’s hour consumption</w:t>
      </w:r>
      <w:r w:rsidR="00654F9B">
        <w:t>.</w:t>
      </w:r>
    </w:p>
    <w:p w14:paraId="42099618" w14:textId="3D6C5871" w:rsidR="00346C61" w:rsidRDefault="00F55900" w:rsidP="00FE778E">
      <w:pPr>
        <w:pStyle w:val="Overskrift2a"/>
        <w:rPr>
          <w:lang w:val="en-US"/>
        </w:rPr>
      </w:pPr>
      <w:r>
        <w:rPr>
          <w:lang w:val="en-US"/>
        </w:rPr>
        <w:t>Dispute</w:t>
      </w:r>
      <w:r w:rsidR="00337B95">
        <w:rPr>
          <w:lang w:val="en-US"/>
        </w:rPr>
        <w:t>d</w:t>
      </w:r>
      <w:r>
        <w:rPr>
          <w:lang w:val="en-US"/>
        </w:rPr>
        <w:t xml:space="preserve"> </w:t>
      </w:r>
      <w:r w:rsidR="001F787B">
        <w:rPr>
          <w:lang w:val="en-US"/>
        </w:rPr>
        <w:t>Impact Assessments</w:t>
      </w:r>
    </w:p>
    <w:p w14:paraId="417FE811" w14:textId="7C5CF404" w:rsidR="001F787B" w:rsidRDefault="002C005A" w:rsidP="001F787B">
      <w:pPr>
        <w:pStyle w:val="Overskrift3"/>
      </w:pPr>
      <w:r>
        <w:t xml:space="preserve">If the Parties </w:t>
      </w:r>
      <w:r w:rsidR="00B008AC">
        <w:t>disagree on the consequences and costs associated with the Change Request</w:t>
      </w:r>
      <w:r w:rsidR="00651A96">
        <w:t>, the other Party has the right to receive a detailed account of the basis for the Impact Assessment</w:t>
      </w:r>
      <w:r w:rsidR="00D54BDE">
        <w:t>.</w:t>
      </w:r>
    </w:p>
    <w:p w14:paraId="41A4CD8B" w14:textId="79ABD2C8" w:rsidR="00D54BDE" w:rsidRDefault="4AADEBE3" w:rsidP="00D54BDE">
      <w:pPr>
        <w:pStyle w:val="Overskrift3"/>
      </w:pPr>
      <w:r>
        <w:t xml:space="preserve">If </w:t>
      </w:r>
      <w:r w:rsidR="4403473C">
        <w:t xml:space="preserve">DFØ </w:t>
      </w:r>
      <w:r>
        <w:t>has sent the Change Request,</w:t>
      </w:r>
      <w:r w:rsidR="5573AC19">
        <w:t xml:space="preserve"> they may </w:t>
      </w:r>
      <w:r w:rsidR="59E91AB0">
        <w:t xml:space="preserve">order the Change Request to be implemented despite disagreements related to the consequences of the change. If so, </w:t>
      </w:r>
      <w:r w:rsidR="28070601">
        <w:t>DFØ</w:t>
      </w:r>
      <w:r w:rsidR="009411D9">
        <w:t xml:space="preserve"> </w:t>
      </w:r>
      <w:r w:rsidR="59E91AB0">
        <w:t xml:space="preserve">shall pay a provisional fee that corresponds to the part of the </w:t>
      </w:r>
      <w:r w:rsidR="1E449C4E">
        <w:t>costs</w:t>
      </w:r>
      <w:r w:rsidR="009411D9">
        <w:t xml:space="preserve"> </w:t>
      </w:r>
      <w:r w:rsidR="2F6BD1D5">
        <w:t xml:space="preserve">that the Parties agree </w:t>
      </w:r>
      <w:r w:rsidR="0287AE06">
        <w:t>on</w:t>
      </w:r>
      <w:r w:rsidR="2F6BD1D5">
        <w:t xml:space="preserve">. </w:t>
      </w:r>
      <w:r w:rsidR="3D04EBC6">
        <w:t>DFØ</w:t>
      </w:r>
      <w:r w:rsidR="009411D9">
        <w:t xml:space="preserve"> </w:t>
      </w:r>
      <w:r w:rsidR="2F6BD1D5">
        <w:t xml:space="preserve">shall pledge security for the portions of the </w:t>
      </w:r>
      <w:r w:rsidR="09250BF3">
        <w:t>costs</w:t>
      </w:r>
      <w:r w:rsidR="009411D9">
        <w:t xml:space="preserve"> </w:t>
      </w:r>
      <w:r w:rsidR="2F6BD1D5">
        <w:t xml:space="preserve">that the Parties disagree </w:t>
      </w:r>
      <w:proofErr w:type="gramStart"/>
      <w:r w:rsidR="2F6BD1D5">
        <w:t>upon</w:t>
      </w:r>
      <w:proofErr w:type="gramEnd"/>
      <w:r w:rsidR="12059474">
        <w:t xml:space="preserve"> and the Parties shall seek to solve the issue under the dispute resolution procedures set out under clause 7.1-7.5 below</w:t>
      </w:r>
      <w:r w:rsidR="2F6BD1D5">
        <w:t xml:space="preserve">. </w:t>
      </w:r>
    </w:p>
    <w:p w14:paraId="70499145" w14:textId="18EE0338" w:rsidR="00944ED4" w:rsidRPr="00944ED4" w:rsidRDefault="2BF3672B" w:rsidP="00944ED4">
      <w:pPr>
        <w:pStyle w:val="Overskrift3"/>
      </w:pPr>
      <w:r>
        <w:t xml:space="preserve">The paid </w:t>
      </w:r>
      <w:r w:rsidR="08E6ECBB">
        <w:t xml:space="preserve">provisional </w:t>
      </w:r>
      <w:r>
        <w:t>fee shall be deemed final</w:t>
      </w:r>
      <w:r w:rsidR="0D34FE43">
        <w:t xml:space="preserve"> 3 (three) months after </w:t>
      </w:r>
      <w:r w:rsidR="6F1FAC28">
        <w:t xml:space="preserve">DFØ </w:t>
      </w:r>
      <w:r w:rsidR="0D34FE43">
        <w:t>received the Impact Assessment,</w:t>
      </w:r>
      <w:r w:rsidR="55624431">
        <w:t xml:space="preserve"> </w:t>
      </w:r>
      <w:r w:rsidR="1D4339C1">
        <w:t xml:space="preserve">unless </w:t>
      </w:r>
      <w:r w:rsidR="29ECE198">
        <w:t xml:space="preserve">a) </w:t>
      </w:r>
      <w:r w:rsidR="1D4339C1">
        <w:t>the Parties agree otherwise o</w:t>
      </w:r>
      <w:r w:rsidR="0762AB6E">
        <w:t>r</w:t>
      </w:r>
      <w:r w:rsidR="1D4339C1">
        <w:t xml:space="preserve"> </w:t>
      </w:r>
      <w:r w:rsidR="6F641570">
        <w:t xml:space="preserve">b) </w:t>
      </w:r>
      <w:r w:rsidR="124F732E">
        <w:t>the Supplier has initiated</w:t>
      </w:r>
      <w:r w:rsidR="2B433642">
        <w:t xml:space="preserve"> formal </w:t>
      </w:r>
      <w:r w:rsidR="15949B87">
        <w:t xml:space="preserve">legal </w:t>
      </w:r>
      <w:r w:rsidR="0638BC7E">
        <w:t xml:space="preserve">proceedings </w:t>
      </w:r>
      <w:r w:rsidR="566C0B44">
        <w:t>before the courts (or</w:t>
      </w:r>
      <w:r w:rsidR="6DB7FFCB">
        <w:t xml:space="preserve">, </w:t>
      </w:r>
      <w:r w:rsidR="566C0B44">
        <w:t>if agreed to by DFØ</w:t>
      </w:r>
      <w:r w:rsidR="5DF5D362">
        <w:t>, arbitration</w:t>
      </w:r>
      <w:r w:rsidR="566C0B44">
        <w:t>)</w:t>
      </w:r>
      <w:r w:rsidR="462E95D4">
        <w:t xml:space="preserve"> regarding the matter</w:t>
      </w:r>
      <w:r w:rsidR="2B433642">
        <w:t xml:space="preserve"> under</w:t>
      </w:r>
      <w:r w:rsidR="009411D9">
        <w:t xml:space="preserve"> </w:t>
      </w:r>
      <w:r w:rsidR="0D34FE43">
        <w:t xml:space="preserve">the dispute resolution </w:t>
      </w:r>
      <w:r w:rsidR="1C6D09D3">
        <w:t>regulation</w:t>
      </w:r>
      <w:r w:rsidR="009411D9">
        <w:t xml:space="preserve"> </w:t>
      </w:r>
      <w:r w:rsidR="0D34FE43">
        <w:t xml:space="preserve">set out </w:t>
      </w:r>
      <w:r w:rsidR="28A817BE">
        <w:t>in</w:t>
      </w:r>
      <w:r w:rsidR="4F2BF8C2">
        <w:t xml:space="preserve"> clause 21f the Framework Agreement</w:t>
      </w:r>
      <w:r w:rsidR="380E02A5">
        <w:t>, or c)</w:t>
      </w:r>
      <w:r w:rsidR="05D00A8B">
        <w:t>,</w:t>
      </w:r>
      <w:r w:rsidR="380E02A5">
        <w:t xml:space="preserve"> </w:t>
      </w:r>
      <w:r w:rsidR="5C92597A">
        <w:t xml:space="preserve">if </w:t>
      </w:r>
      <w:r w:rsidR="6CE7E498">
        <w:t xml:space="preserve">DFØ </w:t>
      </w:r>
      <w:r w:rsidR="380E02A5">
        <w:t>agree</w:t>
      </w:r>
      <w:r w:rsidR="63564794">
        <w:t>s</w:t>
      </w:r>
      <w:r w:rsidR="380E02A5">
        <w:t xml:space="preserve"> to </w:t>
      </w:r>
      <w:r w:rsidR="13EC36BA">
        <w:t>bring the</w:t>
      </w:r>
      <w:r w:rsidR="20392E71">
        <w:t xml:space="preserve"> matter</w:t>
      </w:r>
      <w:r w:rsidR="13EC36BA">
        <w:t xml:space="preserve"> before an independent expert, the matter has been brought before an independent expert as set out in clause 7.6 below. </w:t>
      </w:r>
      <w:r w:rsidR="28A817BE">
        <w:t>.</w:t>
      </w:r>
      <w:r w:rsidR="13AEC063">
        <w:t xml:space="preserve"> </w:t>
      </w:r>
    </w:p>
    <w:p w14:paraId="1BF578B2" w14:textId="77777777" w:rsidR="00CF465D" w:rsidRDefault="00CF465D" w:rsidP="00CF465D">
      <w:pPr>
        <w:pStyle w:val="Overskrift2a"/>
      </w:pPr>
      <w:bookmarkStart w:id="2" w:name="_Ref148394851"/>
      <w:r>
        <w:t>Acceptance of Change</w:t>
      </w:r>
    </w:p>
    <w:p w14:paraId="3324106B" w14:textId="1AFD2D59" w:rsidR="00CF465D" w:rsidRPr="00BD3A50" w:rsidRDefault="00CF465D" w:rsidP="00CF465D">
      <w:pPr>
        <w:pStyle w:val="Overskrift3"/>
      </w:pPr>
      <w:r>
        <w:rPr>
          <w:lang w:val="en-GB"/>
        </w:rPr>
        <w:t xml:space="preserve">If the description of change, price and other consequences stated in the Impact Assessment pursuant to clause </w:t>
      </w:r>
      <w:r>
        <w:rPr>
          <w:lang w:val="en-GB"/>
        </w:rPr>
        <w:fldChar w:fldCharType="begin"/>
      </w:r>
      <w:r>
        <w:rPr>
          <w:lang w:val="en-GB"/>
        </w:rPr>
        <w:instrText xml:space="preserve"> REF _Ref148388378 \r \h </w:instrText>
      </w:r>
      <w:r>
        <w:rPr>
          <w:lang w:val="en-GB"/>
        </w:rPr>
      </w:r>
      <w:r>
        <w:rPr>
          <w:lang w:val="en-GB"/>
        </w:rPr>
        <w:fldChar w:fldCharType="separate"/>
      </w:r>
      <w:r w:rsidR="00442908">
        <w:rPr>
          <w:lang w:val="en-GB"/>
        </w:rPr>
        <w:t>6.2</w:t>
      </w:r>
      <w:r>
        <w:rPr>
          <w:lang w:val="en-GB"/>
        </w:rPr>
        <w:fldChar w:fldCharType="end"/>
      </w:r>
      <w:r>
        <w:rPr>
          <w:lang w:val="en-GB"/>
        </w:rPr>
        <w:t xml:space="preserve"> is accepted by the other Party, they shall inform the other Party and issue an amendment agreement. </w:t>
      </w:r>
    </w:p>
    <w:p w14:paraId="0996A4DA" w14:textId="6EE30591" w:rsidR="00CF465D" w:rsidRPr="006A0652" w:rsidRDefault="2FE28FD1" w:rsidP="00CF465D">
      <w:pPr>
        <w:pStyle w:val="Overskrift3"/>
      </w:pPr>
      <w:r>
        <w:t xml:space="preserve">A non-response from </w:t>
      </w:r>
      <w:r w:rsidR="5F0215A6">
        <w:t xml:space="preserve">DFØ </w:t>
      </w:r>
      <w:r>
        <w:t xml:space="preserve">to the Supplier’s Change Request within the set time frame is not an acceptance of the proposed change. A non-response from the Supplier to </w:t>
      </w:r>
      <w:r w:rsidR="725D02DB">
        <w:t xml:space="preserve">DFØ’s </w:t>
      </w:r>
      <w:r>
        <w:t>Change Request within the set time frame is an acceptance of the proposed change.</w:t>
      </w:r>
    </w:p>
    <w:p w14:paraId="3CDEFE8D" w14:textId="626A6EF1" w:rsidR="00CF082E" w:rsidRDefault="00CF082E" w:rsidP="00CF082E">
      <w:pPr>
        <w:pStyle w:val="Overskrift2a"/>
        <w:rPr>
          <w:lang w:val="en-US"/>
        </w:rPr>
      </w:pPr>
      <w:r>
        <w:rPr>
          <w:lang w:val="en-US"/>
        </w:rPr>
        <w:t>Costs and other consequences in connection with the change</w:t>
      </w:r>
      <w:bookmarkEnd w:id="2"/>
    </w:p>
    <w:p w14:paraId="2C167E56" w14:textId="559518FA" w:rsidR="00CF082E" w:rsidRDefault="3C99F517" w:rsidP="00CF082E">
      <w:pPr>
        <w:pStyle w:val="Overskrift3"/>
      </w:pPr>
      <w:r>
        <w:t xml:space="preserve">The Parties shall have the right to request adjustment of </w:t>
      </w:r>
      <w:r w:rsidR="5039AB33">
        <w:t>Charges</w:t>
      </w:r>
      <w:r w:rsidR="348A0D62">
        <w:t>, and of other matters caused by the Change Request.</w:t>
      </w:r>
    </w:p>
    <w:p w14:paraId="2874CCCE" w14:textId="68DB461C" w:rsidR="00946CB2" w:rsidRDefault="00946CB2" w:rsidP="00946CB2">
      <w:pPr>
        <w:pStyle w:val="Overskrift3"/>
      </w:pPr>
      <w:r>
        <w:t xml:space="preserve">Documented costs in connection with the preparation of the </w:t>
      </w:r>
      <w:r w:rsidR="00F03969">
        <w:t xml:space="preserve">other Party’s impact assessment pursuant to clause </w:t>
      </w:r>
      <w:r w:rsidR="00F03969">
        <w:fldChar w:fldCharType="begin"/>
      </w:r>
      <w:r w:rsidR="00F03969">
        <w:instrText xml:space="preserve"> REF _Ref148388378 \r \h </w:instrText>
      </w:r>
      <w:r w:rsidR="00F03969">
        <w:fldChar w:fldCharType="separate"/>
      </w:r>
      <w:r w:rsidR="00442908">
        <w:t>6.2</w:t>
      </w:r>
      <w:r w:rsidR="00F03969">
        <w:fldChar w:fldCharType="end"/>
      </w:r>
      <w:r w:rsidR="00925900">
        <w:t xml:space="preserve"> shall be covered by the Party who issued the Change Request in accordance with </w:t>
      </w:r>
      <w:r w:rsidR="003900D5">
        <w:t xml:space="preserve">applicable hourly rates as set out in </w:t>
      </w:r>
      <w:r w:rsidR="003900D5">
        <w:rPr>
          <w:u w:val="single"/>
        </w:rPr>
        <w:t>Appendix 2</w:t>
      </w:r>
      <w:r w:rsidR="000E2CB1">
        <w:t xml:space="preserve"> (</w:t>
      </w:r>
      <w:r w:rsidR="000E2CB1">
        <w:rPr>
          <w:i/>
          <w:iCs/>
        </w:rPr>
        <w:t>Charges</w:t>
      </w:r>
      <w:r w:rsidR="000E2CB1">
        <w:t>).</w:t>
      </w:r>
    </w:p>
    <w:p w14:paraId="55B24EA6" w14:textId="30FBF01D" w:rsidR="00861CB8" w:rsidRDefault="002F36F5" w:rsidP="002F36F5">
      <w:pPr>
        <w:pStyle w:val="Overskrift2a"/>
        <w:rPr>
          <w:lang w:val="en-US"/>
        </w:rPr>
      </w:pPr>
      <w:r>
        <w:rPr>
          <w:lang w:val="en-US"/>
        </w:rPr>
        <w:t xml:space="preserve">Disputed </w:t>
      </w:r>
      <w:r w:rsidR="00FC1CBE">
        <w:rPr>
          <w:lang w:val="en-US"/>
        </w:rPr>
        <w:t>c</w:t>
      </w:r>
      <w:r w:rsidR="007505B1">
        <w:rPr>
          <w:lang w:val="en-US"/>
        </w:rPr>
        <w:t>hange</w:t>
      </w:r>
    </w:p>
    <w:p w14:paraId="5CE16090" w14:textId="213227FC" w:rsidR="007505B1" w:rsidRDefault="76262839" w:rsidP="007505B1">
      <w:pPr>
        <w:pStyle w:val="Overskrift3"/>
      </w:pPr>
      <w:bookmarkStart w:id="3" w:name="_Ref148395379"/>
      <w:r>
        <w:t xml:space="preserve">If </w:t>
      </w:r>
      <w:r w:rsidR="7CF9FD0A">
        <w:t xml:space="preserve">DFØ </w:t>
      </w:r>
      <w:r w:rsidR="361B7432">
        <w:t xml:space="preserve">requests </w:t>
      </w:r>
      <w:r w:rsidR="089E512A">
        <w:t xml:space="preserve">in the form of written orders, or otherwise by an </w:t>
      </w:r>
      <w:proofErr w:type="spellStart"/>
      <w:r w:rsidR="089E512A">
        <w:t>Authorised</w:t>
      </w:r>
      <w:proofErr w:type="spellEnd"/>
      <w:r w:rsidR="089E512A">
        <w:t xml:space="preserve"> Representative</w:t>
      </w:r>
      <w:r w:rsidR="204BF654">
        <w:t xml:space="preserve"> the performance of specific work that the Supplier believes to fall outside the scope of its Services under this Framework Agreement, the Supplier shall, in writing, request </w:t>
      </w:r>
      <w:r w:rsidR="5B0C802E">
        <w:t xml:space="preserve">DFØ </w:t>
      </w:r>
      <w:r w:rsidR="204BF654">
        <w:t>to issue a Change Request.</w:t>
      </w:r>
      <w:bookmarkEnd w:id="3"/>
    </w:p>
    <w:p w14:paraId="77BB8692" w14:textId="68D875D8" w:rsidR="00BA534A" w:rsidRDefault="3ABB2C57" w:rsidP="00BA534A">
      <w:pPr>
        <w:pStyle w:val="Overskrift3"/>
      </w:pPr>
      <w:r>
        <w:t xml:space="preserve">Together with the request for a Change Request, the Supplier shall provide the Customer with an Impact Assessment pursuant to clause </w:t>
      </w:r>
      <w:r w:rsidR="00EE6001">
        <w:fldChar w:fldCharType="begin"/>
      </w:r>
      <w:r w:rsidR="00EE6001">
        <w:instrText xml:space="preserve"> REF _Ref148394805 \r \h </w:instrText>
      </w:r>
      <w:r w:rsidR="00EE6001">
        <w:fldChar w:fldCharType="separate"/>
      </w:r>
      <w:r w:rsidR="00442908">
        <w:t>6.2</w:t>
      </w:r>
      <w:r w:rsidR="00EE6001">
        <w:fldChar w:fldCharType="end"/>
      </w:r>
      <w:r>
        <w:t xml:space="preserve">. The costs associated with the </w:t>
      </w:r>
      <w:r>
        <w:lastRenderedPageBreak/>
        <w:t xml:space="preserve">preparation of the assessment shall be paid by the Customer pursuant to clause </w:t>
      </w:r>
      <w:r w:rsidR="00EE6001">
        <w:fldChar w:fldCharType="begin"/>
      </w:r>
      <w:r w:rsidR="00EE6001">
        <w:instrText xml:space="preserve"> REF _Ref148394851 \r \h </w:instrText>
      </w:r>
      <w:r w:rsidR="00EE6001">
        <w:fldChar w:fldCharType="separate"/>
      </w:r>
      <w:r w:rsidR="00442908">
        <w:t>6.4</w:t>
      </w:r>
      <w:r w:rsidR="00EE6001">
        <w:fldChar w:fldCharType="end"/>
      </w:r>
      <w:r w:rsidR="755189DC">
        <w:t xml:space="preserve"> </w:t>
      </w:r>
      <w:r w:rsidR="0E42FECE">
        <w:t xml:space="preserve">only </w:t>
      </w:r>
      <w:r>
        <w:t>if the Supplier is correct in deeming it as a change.</w:t>
      </w:r>
    </w:p>
    <w:p w14:paraId="749305E5" w14:textId="0AA7F71E" w:rsidR="001551C2" w:rsidRDefault="275B0DEF" w:rsidP="001551C2">
      <w:pPr>
        <w:pStyle w:val="Overskrift3"/>
      </w:pPr>
      <w:r>
        <w:t>If the Supplier fails to make such request for a Change Request within a reasonable time,</w:t>
      </w:r>
      <w:r w:rsidR="099982DF">
        <w:t xml:space="preserve"> and</w:t>
      </w:r>
      <w:r w:rsidR="2F6193E4">
        <w:t xml:space="preserve"> in any case</w:t>
      </w:r>
      <w:r w:rsidR="099982DF">
        <w:t xml:space="preserve"> no later than 3 (three) months</w:t>
      </w:r>
      <w:r w:rsidR="35BC4C44">
        <w:t xml:space="preserve"> after the commencement of work</w:t>
      </w:r>
      <w:r w:rsidR="35FEFA49">
        <w:t xml:space="preserve"> which it believes to fall outside the scope of its Services under the Framework Agreement</w:t>
      </w:r>
      <w:r w:rsidR="35BC4C44">
        <w:t>,</w:t>
      </w:r>
      <w:r>
        <w:t xml:space="preserve"> the work shall be deemed to be included in the Supplier’s Services under this Framework Agreement, and the Supplier waives its right to invoke such work as basis for extension of deadlines, additional charges or damages . </w:t>
      </w:r>
    </w:p>
    <w:p w14:paraId="6EBBBE00" w14:textId="72ED1F8F" w:rsidR="008F14DD" w:rsidRDefault="65DC8AE7" w:rsidP="008F14DD">
      <w:pPr>
        <w:pStyle w:val="Overskrift3"/>
      </w:pPr>
      <w:r>
        <w:t xml:space="preserve">If the </w:t>
      </w:r>
      <w:r w:rsidR="2578F3BC">
        <w:t xml:space="preserve">Supplier has requested </w:t>
      </w:r>
      <w:r w:rsidR="348110DC">
        <w:t xml:space="preserve">DFØ </w:t>
      </w:r>
      <w:r w:rsidR="2578F3BC">
        <w:t xml:space="preserve">to send a Change Request </w:t>
      </w:r>
      <w:r w:rsidR="1E714509">
        <w:t xml:space="preserve">pursuant to clause </w:t>
      </w:r>
      <w:r w:rsidR="00F179D8">
        <w:fldChar w:fldCharType="begin"/>
      </w:r>
      <w:r w:rsidR="00F179D8">
        <w:instrText xml:space="preserve"> REF _Ref148395379 \r \h </w:instrText>
      </w:r>
      <w:r w:rsidR="00F179D8">
        <w:fldChar w:fldCharType="separate"/>
      </w:r>
      <w:r w:rsidR="00442908">
        <w:t>6.6.1</w:t>
      </w:r>
      <w:r w:rsidR="00F179D8">
        <w:fldChar w:fldCharType="end"/>
      </w:r>
      <w:r w:rsidR="57DB1077">
        <w:t xml:space="preserve">, </w:t>
      </w:r>
      <w:r w:rsidR="16D7A630">
        <w:t>DFØ</w:t>
      </w:r>
      <w:r w:rsidR="009411D9">
        <w:t xml:space="preserve"> </w:t>
      </w:r>
      <w:r w:rsidR="57DB1077">
        <w:t xml:space="preserve">shall within reasonable time issue a Change Request or a </w:t>
      </w:r>
      <w:r w:rsidR="58C27108">
        <w:t>waiver of the request.</w:t>
      </w:r>
    </w:p>
    <w:p w14:paraId="6ECF3B7E" w14:textId="204B45D9" w:rsidR="00C11DD7" w:rsidRDefault="58C27108" w:rsidP="00C11DD7">
      <w:pPr>
        <w:pStyle w:val="Overskrift3"/>
      </w:pPr>
      <w:r>
        <w:t xml:space="preserve">If </w:t>
      </w:r>
      <w:r w:rsidR="7CEB5A2E">
        <w:t xml:space="preserve">DFØ </w:t>
      </w:r>
      <w:r>
        <w:t xml:space="preserve">disagrees that a Change Request is required, </w:t>
      </w:r>
      <w:r w:rsidR="154A0DE0">
        <w:t xml:space="preserve">it shall be explicitly stated that the change request is disputed (“Disputed Change Request”). The Change Request shall include an explanation as to why </w:t>
      </w:r>
      <w:r w:rsidR="17F63B0A">
        <w:t xml:space="preserve">DFØ </w:t>
      </w:r>
      <w:r w:rsidR="154A0DE0">
        <w:t>deems the Change Request to be disputed.</w:t>
      </w:r>
    </w:p>
    <w:p w14:paraId="13AD628B" w14:textId="6C0DAF84" w:rsidR="00A00D04" w:rsidRDefault="0A7600AA">
      <w:pPr>
        <w:pStyle w:val="Overskrift3"/>
      </w:pPr>
      <w:r>
        <w:t xml:space="preserve">Even if the change request is disputed, the Supplier is obliged to execute what has been requested, in return for the Customer’s payment of a provisional fee corresponding to half of the amount that the Supplier has documented in its Impact Assessment. If a final decision </w:t>
      </w:r>
      <w:r w:rsidR="42F9BE3E">
        <w:t xml:space="preserve">rules </w:t>
      </w:r>
      <w:r>
        <w:t xml:space="preserve">that a </w:t>
      </w:r>
      <w:r w:rsidR="3D8F973C">
        <w:t>C</w:t>
      </w:r>
      <w:r>
        <w:t xml:space="preserve">hange </w:t>
      </w:r>
      <w:r w:rsidR="3D8F973C">
        <w:t>R</w:t>
      </w:r>
      <w:r>
        <w:t xml:space="preserve">equest cannot </w:t>
      </w:r>
      <w:r w:rsidR="3DCA6FF9">
        <w:t xml:space="preserve">or could not </w:t>
      </w:r>
      <w:r>
        <w:t xml:space="preserve">be required, the provisional fees shall be </w:t>
      </w:r>
      <w:r w:rsidR="3D8F973C">
        <w:t xml:space="preserve">returned to </w:t>
      </w:r>
      <w:r w:rsidR="5355B727">
        <w:t>DFØ</w:t>
      </w:r>
      <w:r>
        <w:t xml:space="preserve">. If the work is </w:t>
      </w:r>
      <w:r w:rsidR="77F92008">
        <w:t xml:space="preserve">ruled </w:t>
      </w:r>
      <w:r>
        <w:t xml:space="preserve">to be a change, the fixed fees for the change, adjusted for the provisional fees, shall be invoiced to </w:t>
      </w:r>
      <w:r w:rsidR="475AB64E">
        <w:t>DFØ</w:t>
      </w:r>
      <w:r>
        <w:t>.</w:t>
      </w:r>
    </w:p>
    <w:p w14:paraId="15308A94" w14:textId="7C1E1A98" w:rsidR="00095D79" w:rsidRDefault="24A1A75C" w:rsidP="009E6545">
      <w:pPr>
        <w:pStyle w:val="Overskrift3"/>
      </w:pPr>
      <w:r>
        <w:t>The Supplier may contest the duty to execute the work by</w:t>
      </w:r>
      <w:r w:rsidR="29D70EDA">
        <w:t xml:space="preserve">, if DFØ agrees to bring the matter before an independent expert </w:t>
      </w:r>
      <w:r>
        <w:t xml:space="preserve"> requesting a ruling from an </w:t>
      </w:r>
      <w:r w:rsidR="78B6F8BC">
        <w:t xml:space="preserve">independent expert </w:t>
      </w:r>
      <w:r w:rsidR="569048D3">
        <w:t>a</w:t>
      </w:r>
      <w:r w:rsidR="6A78B37E">
        <w:t>s</w:t>
      </w:r>
      <w:r w:rsidR="569048D3">
        <w:t xml:space="preserve"> set out under</w:t>
      </w:r>
      <w:r w:rsidR="3151687F">
        <w:t xml:space="preserve"> </w:t>
      </w:r>
      <w:r w:rsidR="78B6F8BC">
        <w:t xml:space="preserve">clause </w:t>
      </w:r>
      <w:r w:rsidR="00095D79">
        <w:fldChar w:fldCharType="begin"/>
      </w:r>
      <w:r w:rsidR="00095D79">
        <w:instrText xml:space="preserve"> REF _Ref148396150 \r \h </w:instrText>
      </w:r>
      <w:r w:rsidR="00095D79">
        <w:fldChar w:fldCharType="separate"/>
      </w:r>
      <w:r w:rsidR="00442908">
        <w:t>7.6</w:t>
      </w:r>
      <w:r w:rsidR="00095D79">
        <w:fldChar w:fldCharType="end"/>
      </w:r>
      <w:r w:rsidR="78B6F8BC">
        <w:t xml:space="preserve"> </w:t>
      </w:r>
      <w:r w:rsidR="6D737B7F">
        <w:t xml:space="preserve">below </w:t>
      </w:r>
      <w:r w:rsidR="78B6F8BC">
        <w:t>or initiate legal proceedings</w:t>
      </w:r>
      <w:r w:rsidR="69936F36">
        <w:t xml:space="preserve"> </w:t>
      </w:r>
      <w:r w:rsidR="235A7016">
        <w:t xml:space="preserve">before the courts </w:t>
      </w:r>
      <w:r w:rsidR="11ABE421">
        <w:t xml:space="preserve">(or, if agreed to by DFØ, arbitration) regarding the matter </w:t>
      </w:r>
      <w:r w:rsidR="72090711">
        <w:t xml:space="preserve"> as</w:t>
      </w:r>
      <w:r w:rsidR="0C0F5550">
        <w:t xml:space="preserve"> set out in</w:t>
      </w:r>
      <w:r w:rsidR="009411D9">
        <w:t xml:space="preserve"> </w:t>
      </w:r>
      <w:r w:rsidR="69936F36">
        <w:t>clause 21 of the Framework Agreement.</w:t>
      </w:r>
    </w:p>
    <w:p w14:paraId="2CF6CEE1" w14:textId="21C6A83C" w:rsidR="007505B1" w:rsidRPr="00FE2825" w:rsidRDefault="1C0EFC9D" w:rsidP="007505B1">
      <w:pPr>
        <w:pStyle w:val="Overskrift3"/>
      </w:pPr>
      <w:r>
        <w:t>If the Supplier has received a disputed change request, the Supplier must, within 3 (three) months after receiving the disputed change request,</w:t>
      </w:r>
      <w:r w:rsidR="5F3E1318">
        <w:t xml:space="preserve"> a)</w:t>
      </w:r>
      <w:r>
        <w:t xml:space="preserve"> </w:t>
      </w:r>
      <w:r w:rsidR="1620AFF7">
        <w:t>if DFØ agrees to bring the matter before an independent expert, request a ruling from an independent expert as set out under clause 7.6 below or b) initiate legal proceedings before the courts (or, if agreed to by DFØ, arbitration) regarding the matter as set out in</w:t>
      </w:r>
      <w:r w:rsidR="2338954D">
        <w:t xml:space="preserve"> </w:t>
      </w:r>
      <w:r w:rsidR="1620AFF7">
        <w:t xml:space="preserve">clause 21 of the Framework Agreement </w:t>
      </w:r>
      <w:r w:rsidR="00EE36AD">
        <w:fldChar w:fldCharType="begin"/>
      </w:r>
      <w:r w:rsidR="00EE36AD">
        <w:instrText xml:space="preserve"> REF _Ref148395594 \r \h </w:instrText>
      </w:r>
      <w:r w:rsidR="00EE36AD">
        <w:fldChar w:fldCharType="separate"/>
      </w:r>
      <w:r w:rsidR="00442908">
        <w:t>7</w:t>
      </w:r>
      <w:r w:rsidR="00EE36AD">
        <w:fldChar w:fldCharType="end"/>
      </w:r>
      <w:r>
        <w:t>. If the Supplier fails to do so, the work shall be deemed to fall within the scope of the Supplier's duties</w:t>
      </w:r>
      <w:r w:rsidR="733BDD38">
        <w:t>/the Services</w:t>
      </w:r>
      <w:r>
        <w:t xml:space="preserve"> under this Framework Agreement.</w:t>
      </w:r>
    </w:p>
    <w:p w14:paraId="3BDA8B26" w14:textId="3FAAAA07" w:rsidR="00EE4296" w:rsidRPr="003B6DC2" w:rsidRDefault="00EE4296" w:rsidP="00EE4296">
      <w:pPr>
        <w:pStyle w:val="Overskrift1"/>
      </w:pPr>
      <w:bookmarkStart w:id="4" w:name="_Ref148395594"/>
      <w:r>
        <w:t>Dispute R</w:t>
      </w:r>
      <w:r w:rsidR="009E6A0C">
        <w:t>e</w:t>
      </w:r>
      <w:r>
        <w:t>solution</w:t>
      </w:r>
      <w:bookmarkEnd w:id="4"/>
    </w:p>
    <w:p w14:paraId="1B32256C" w14:textId="77777777" w:rsidR="00460A65" w:rsidRDefault="00EE4296" w:rsidP="00EE4296">
      <w:pPr>
        <w:pStyle w:val="Overskrift2"/>
      </w:pPr>
      <w:bookmarkStart w:id="5" w:name="_Ref148393217"/>
      <w:r w:rsidRPr="001326E2">
        <w:t>The purpose of escalation is to ensure structured and predictable resolution of</w:t>
      </w:r>
      <w:r>
        <w:t xml:space="preserve"> any</w:t>
      </w:r>
      <w:r w:rsidRPr="001326E2">
        <w:t xml:space="preserve"> issues, disagreements and conflicts in the relationship between </w:t>
      </w:r>
      <w:r>
        <w:t>DFØ and the Supplier. The Supplier shall offer a minimum off three Escalation Levels</w:t>
      </w:r>
      <w:r w:rsidR="00460A65">
        <w:t>.</w:t>
      </w:r>
      <w:bookmarkEnd w:id="5"/>
    </w:p>
    <w:p w14:paraId="4A1901A7" w14:textId="30013265" w:rsidR="00EE4296" w:rsidRDefault="435F3DFE" w:rsidP="00EE4296">
      <w:pPr>
        <w:pStyle w:val="Overskrift2"/>
      </w:pPr>
      <w:r>
        <w:t xml:space="preserve">The following table sets out the </w:t>
      </w:r>
      <w:r w:rsidR="72EAC7FB">
        <w:t xml:space="preserve">representatives of </w:t>
      </w:r>
      <w:r w:rsidR="7E498A9E">
        <w:t xml:space="preserve">DFØ </w:t>
      </w:r>
      <w:r w:rsidR="72EAC7FB">
        <w:t>and the Supplier at each level of escalation for the resolution of disputes under this Framework Agreement</w:t>
      </w:r>
      <w:r w:rsidR="60F5F71E">
        <w:t>:</w:t>
      </w:r>
    </w:p>
    <w:tbl>
      <w:tblPr>
        <w:tblStyle w:val="Tabellrutenett"/>
        <w:tblW w:w="0" w:type="auto"/>
        <w:tblLook w:val="04A0" w:firstRow="1" w:lastRow="0" w:firstColumn="1" w:lastColumn="0" w:noHBand="0" w:noVBand="1"/>
      </w:tblPr>
      <w:tblGrid>
        <w:gridCol w:w="4531"/>
        <w:gridCol w:w="4531"/>
      </w:tblGrid>
      <w:tr w:rsidR="00CD75AB" w14:paraId="007D7E08" w14:textId="77777777" w:rsidTr="34DCC79B">
        <w:tc>
          <w:tcPr>
            <w:tcW w:w="4531" w:type="dxa"/>
            <w:shd w:val="clear" w:color="auto" w:fill="D9D9D9" w:themeFill="background1" w:themeFillShade="D9"/>
          </w:tcPr>
          <w:p w14:paraId="4E83DCB3" w14:textId="09FCC490" w:rsidR="00CD75AB" w:rsidRPr="00B52145" w:rsidRDefault="00CD75AB" w:rsidP="00B70114">
            <w:pPr>
              <w:rPr>
                <w:b/>
                <w:bCs/>
              </w:rPr>
            </w:pPr>
            <w:r w:rsidRPr="00B52145">
              <w:rPr>
                <w:b/>
                <w:bCs/>
              </w:rPr>
              <w:t>First Level</w:t>
            </w:r>
          </w:p>
        </w:tc>
        <w:tc>
          <w:tcPr>
            <w:tcW w:w="4531" w:type="dxa"/>
            <w:shd w:val="clear" w:color="auto" w:fill="D9D9D9" w:themeFill="background1" w:themeFillShade="D9"/>
          </w:tcPr>
          <w:p w14:paraId="33B6A24F" w14:textId="55451750" w:rsidR="00CD75AB" w:rsidRPr="00B52145" w:rsidRDefault="00CD75AB" w:rsidP="00B70114">
            <w:pPr>
              <w:rPr>
                <w:b/>
                <w:bCs/>
              </w:rPr>
            </w:pPr>
            <w:r w:rsidRPr="00B52145">
              <w:rPr>
                <w:b/>
                <w:bCs/>
              </w:rPr>
              <w:t>Title of Representative</w:t>
            </w:r>
          </w:p>
        </w:tc>
      </w:tr>
      <w:tr w:rsidR="00CD75AB" w14:paraId="6DD279E5" w14:textId="77777777" w:rsidTr="34DCC79B">
        <w:tc>
          <w:tcPr>
            <w:tcW w:w="4531" w:type="dxa"/>
          </w:tcPr>
          <w:p w14:paraId="69589766" w14:textId="07B20CAD" w:rsidR="00CD75AB" w:rsidRDefault="0058302A" w:rsidP="00B70114">
            <w:r>
              <w:t>DFØ</w:t>
            </w:r>
          </w:p>
        </w:tc>
        <w:tc>
          <w:tcPr>
            <w:tcW w:w="4531" w:type="dxa"/>
          </w:tcPr>
          <w:p w14:paraId="06B5217D" w14:textId="2F6A52E0" w:rsidR="00CD75AB" w:rsidRPr="002603EB" w:rsidRDefault="1324CF59" w:rsidP="34DCC79B">
            <w:pPr>
              <w:rPr>
                <w:i/>
                <w:iCs/>
                <w:color w:val="4472C4" w:themeColor="accent1"/>
              </w:rPr>
            </w:pPr>
            <w:r w:rsidRPr="002603EB">
              <w:rPr>
                <w:i/>
                <w:iCs/>
                <w:color w:val="4472C4" w:themeColor="accent1"/>
              </w:rPr>
              <w:t xml:space="preserve"> [To be filled out prior to signing]</w:t>
            </w:r>
          </w:p>
        </w:tc>
      </w:tr>
      <w:tr w:rsidR="00CD75AB" w14:paraId="586D24D2" w14:textId="77777777" w:rsidTr="34DCC79B">
        <w:tc>
          <w:tcPr>
            <w:tcW w:w="4531" w:type="dxa"/>
          </w:tcPr>
          <w:p w14:paraId="3E9B3CF4" w14:textId="3E8267E4" w:rsidR="00CD75AB" w:rsidRDefault="00CD75AB" w:rsidP="00B70114">
            <w:r>
              <w:t>The Supplier</w:t>
            </w:r>
          </w:p>
        </w:tc>
        <w:tc>
          <w:tcPr>
            <w:tcW w:w="4531" w:type="dxa"/>
          </w:tcPr>
          <w:p w14:paraId="647E32BB" w14:textId="1CFA1EAA" w:rsidR="00CD75AB" w:rsidRPr="002603EB" w:rsidRDefault="12B3085A" w:rsidP="34DCC79B">
            <w:pPr>
              <w:rPr>
                <w:i/>
                <w:iCs/>
                <w:color w:val="4472C4" w:themeColor="accent1"/>
              </w:rPr>
            </w:pPr>
            <w:r w:rsidRPr="002603EB">
              <w:rPr>
                <w:i/>
                <w:iCs/>
                <w:color w:val="4472C4" w:themeColor="accent1"/>
              </w:rPr>
              <w:t xml:space="preserve"> [To be filled out prior to signing]</w:t>
            </w:r>
          </w:p>
        </w:tc>
      </w:tr>
      <w:tr w:rsidR="00E91ED1" w14:paraId="35322FEF" w14:textId="77777777" w:rsidTr="34DCC79B">
        <w:tc>
          <w:tcPr>
            <w:tcW w:w="4531" w:type="dxa"/>
            <w:shd w:val="clear" w:color="auto" w:fill="D9D9D9" w:themeFill="background1" w:themeFillShade="D9"/>
          </w:tcPr>
          <w:p w14:paraId="758AE2F1" w14:textId="55612C4A" w:rsidR="00E91ED1" w:rsidRPr="00B52145" w:rsidRDefault="00E91ED1">
            <w:pPr>
              <w:rPr>
                <w:b/>
                <w:bCs/>
              </w:rPr>
            </w:pPr>
            <w:r>
              <w:rPr>
                <w:b/>
                <w:bCs/>
              </w:rPr>
              <w:t>Second</w:t>
            </w:r>
            <w:r w:rsidRPr="00B52145">
              <w:rPr>
                <w:b/>
                <w:bCs/>
              </w:rPr>
              <w:t xml:space="preserve"> Level</w:t>
            </w:r>
          </w:p>
        </w:tc>
        <w:tc>
          <w:tcPr>
            <w:tcW w:w="4531" w:type="dxa"/>
            <w:shd w:val="clear" w:color="auto" w:fill="D9D9D9" w:themeFill="background1" w:themeFillShade="D9"/>
          </w:tcPr>
          <w:p w14:paraId="6C312A57" w14:textId="77777777" w:rsidR="00E91ED1" w:rsidRPr="00B52145" w:rsidRDefault="00E91ED1">
            <w:pPr>
              <w:rPr>
                <w:b/>
                <w:bCs/>
              </w:rPr>
            </w:pPr>
            <w:r w:rsidRPr="00B52145">
              <w:rPr>
                <w:b/>
                <w:bCs/>
              </w:rPr>
              <w:t>Title of Representative</w:t>
            </w:r>
          </w:p>
        </w:tc>
      </w:tr>
      <w:tr w:rsidR="00E91ED1" w14:paraId="7E614D1A" w14:textId="77777777" w:rsidTr="34DCC79B">
        <w:tc>
          <w:tcPr>
            <w:tcW w:w="4531" w:type="dxa"/>
          </w:tcPr>
          <w:p w14:paraId="6165C60E" w14:textId="7BEF1E96" w:rsidR="00E91ED1" w:rsidRDefault="0058302A">
            <w:r>
              <w:t>DFØ</w:t>
            </w:r>
          </w:p>
        </w:tc>
        <w:tc>
          <w:tcPr>
            <w:tcW w:w="4531" w:type="dxa"/>
          </w:tcPr>
          <w:p w14:paraId="186BE5F3" w14:textId="6DD06EF7" w:rsidR="00E91ED1" w:rsidRPr="002603EB" w:rsidRDefault="16CD634C" w:rsidP="34DCC79B">
            <w:pPr>
              <w:rPr>
                <w:i/>
                <w:iCs/>
                <w:color w:val="4472C4" w:themeColor="accent1"/>
              </w:rPr>
            </w:pPr>
            <w:r w:rsidRPr="002603EB">
              <w:rPr>
                <w:i/>
                <w:iCs/>
                <w:color w:val="4472C4" w:themeColor="accent1"/>
              </w:rPr>
              <w:t xml:space="preserve"> [To be filled out prior to signing]</w:t>
            </w:r>
          </w:p>
        </w:tc>
      </w:tr>
      <w:tr w:rsidR="00E91ED1" w14:paraId="001EA8FD" w14:textId="77777777" w:rsidTr="34DCC79B">
        <w:tc>
          <w:tcPr>
            <w:tcW w:w="4531" w:type="dxa"/>
          </w:tcPr>
          <w:p w14:paraId="75D7D6A1" w14:textId="77777777" w:rsidR="00E91ED1" w:rsidRDefault="00E91ED1">
            <w:r>
              <w:t>The Supplier</w:t>
            </w:r>
          </w:p>
        </w:tc>
        <w:tc>
          <w:tcPr>
            <w:tcW w:w="4531" w:type="dxa"/>
          </w:tcPr>
          <w:p w14:paraId="7451C5D0" w14:textId="703DF0A4" w:rsidR="00E91ED1" w:rsidRPr="002603EB" w:rsidRDefault="1F648C27" w:rsidP="34DCC79B">
            <w:pPr>
              <w:rPr>
                <w:i/>
                <w:iCs/>
                <w:color w:val="4472C4" w:themeColor="accent1"/>
              </w:rPr>
            </w:pPr>
            <w:r w:rsidRPr="002603EB">
              <w:rPr>
                <w:i/>
                <w:iCs/>
                <w:color w:val="4472C4" w:themeColor="accent1"/>
              </w:rPr>
              <w:t xml:space="preserve"> [To be filled out prior to signing]</w:t>
            </w:r>
          </w:p>
        </w:tc>
      </w:tr>
      <w:tr w:rsidR="00E91ED1" w14:paraId="3D6BE132" w14:textId="77777777" w:rsidTr="34DCC79B">
        <w:tc>
          <w:tcPr>
            <w:tcW w:w="4531" w:type="dxa"/>
            <w:shd w:val="clear" w:color="auto" w:fill="D9D9D9" w:themeFill="background1" w:themeFillShade="D9"/>
          </w:tcPr>
          <w:p w14:paraId="05CE7CDA" w14:textId="07EF2FCB" w:rsidR="00E91ED1" w:rsidRPr="00B52145" w:rsidRDefault="00E91ED1">
            <w:pPr>
              <w:rPr>
                <w:b/>
                <w:bCs/>
              </w:rPr>
            </w:pPr>
            <w:r>
              <w:rPr>
                <w:b/>
                <w:bCs/>
              </w:rPr>
              <w:t>Third</w:t>
            </w:r>
            <w:r w:rsidRPr="00B52145">
              <w:rPr>
                <w:b/>
                <w:bCs/>
              </w:rPr>
              <w:t xml:space="preserve"> Level</w:t>
            </w:r>
          </w:p>
        </w:tc>
        <w:tc>
          <w:tcPr>
            <w:tcW w:w="4531" w:type="dxa"/>
            <w:shd w:val="clear" w:color="auto" w:fill="D9D9D9" w:themeFill="background1" w:themeFillShade="D9"/>
          </w:tcPr>
          <w:p w14:paraId="5D987921" w14:textId="77777777" w:rsidR="00E91ED1" w:rsidRPr="00B52145" w:rsidRDefault="00E91ED1">
            <w:pPr>
              <w:rPr>
                <w:b/>
                <w:bCs/>
              </w:rPr>
            </w:pPr>
            <w:r w:rsidRPr="00B52145">
              <w:rPr>
                <w:b/>
                <w:bCs/>
              </w:rPr>
              <w:t>Title of Representative</w:t>
            </w:r>
          </w:p>
        </w:tc>
      </w:tr>
      <w:tr w:rsidR="00E91ED1" w14:paraId="2770F76A" w14:textId="77777777" w:rsidTr="34DCC79B">
        <w:tc>
          <w:tcPr>
            <w:tcW w:w="4531" w:type="dxa"/>
          </w:tcPr>
          <w:p w14:paraId="6EAB1ED1" w14:textId="3EE32558" w:rsidR="00E91ED1" w:rsidRDefault="0058302A">
            <w:r>
              <w:t>DFØ</w:t>
            </w:r>
          </w:p>
        </w:tc>
        <w:tc>
          <w:tcPr>
            <w:tcW w:w="4531" w:type="dxa"/>
          </w:tcPr>
          <w:p w14:paraId="35CA2818" w14:textId="1345A79C" w:rsidR="00E91ED1" w:rsidRPr="002603EB" w:rsidRDefault="36A5B8E9" w:rsidP="34DCC79B">
            <w:pPr>
              <w:rPr>
                <w:i/>
                <w:iCs/>
                <w:color w:val="4472C4" w:themeColor="accent1"/>
              </w:rPr>
            </w:pPr>
            <w:r w:rsidRPr="002603EB">
              <w:rPr>
                <w:i/>
                <w:iCs/>
                <w:color w:val="4472C4" w:themeColor="accent1"/>
              </w:rPr>
              <w:t xml:space="preserve"> [To be filled out prior to signing]</w:t>
            </w:r>
          </w:p>
        </w:tc>
      </w:tr>
      <w:tr w:rsidR="00E91ED1" w14:paraId="0C79AFE1" w14:textId="77777777" w:rsidTr="34DCC79B">
        <w:tc>
          <w:tcPr>
            <w:tcW w:w="4531" w:type="dxa"/>
          </w:tcPr>
          <w:p w14:paraId="33D0570E" w14:textId="77777777" w:rsidR="00E91ED1" w:rsidRDefault="00E91ED1">
            <w:r>
              <w:lastRenderedPageBreak/>
              <w:t>The Supplier</w:t>
            </w:r>
          </w:p>
        </w:tc>
        <w:tc>
          <w:tcPr>
            <w:tcW w:w="4531" w:type="dxa"/>
          </w:tcPr>
          <w:p w14:paraId="5AA87ABE" w14:textId="723BD207" w:rsidR="00E91ED1" w:rsidRPr="002603EB" w:rsidRDefault="5F301EB4" w:rsidP="34DCC79B">
            <w:pPr>
              <w:rPr>
                <w:i/>
                <w:iCs/>
                <w:color w:val="4472C4" w:themeColor="accent1"/>
              </w:rPr>
            </w:pPr>
            <w:r w:rsidRPr="002603EB">
              <w:rPr>
                <w:i/>
                <w:iCs/>
                <w:color w:val="4472C4" w:themeColor="accent1"/>
              </w:rPr>
              <w:t xml:space="preserve"> [To be filled out prior to signing]</w:t>
            </w:r>
          </w:p>
        </w:tc>
      </w:tr>
    </w:tbl>
    <w:p w14:paraId="3B45F4D6" w14:textId="77777777" w:rsidR="00E91ED1" w:rsidRPr="00B70114" w:rsidRDefault="00E91ED1" w:rsidP="00B70114"/>
    <w:p w14:paraId="37F66F04" w14:textId="42A47321" w:rsidR="001465B7" w:rsidRDefault="001465B7">
      <w:pPr>
        <w:pStyle w:val="Overskrift2"/>
      </w:pPr>
      <w:r>
        <w:t xml:space="preserve">Each representative shall be the person or group of persons holding the relevant title or any successor title from time to time. If any of the above representatives are unable to attend a meeting, a substitute may attend provided that such substitute has at least the same seniority or reasonably comparable managerial or directorial responsibility and is authorised to settle the unresolved matter. </w:t>
      </w:r>
    </w:p>
    <w:p w14:paraId="23E7FC70" w14:textId="4B88D7BD" w:rsidR="001465B7" w:rsidRDefault="78DACD95">
      <w:pPr>
        <w:pStyle w:val="Overskrift2"/>
      </w:pPr>
      <w:bookmarkStart w:id="6" w:name="_Ref148393221"/>
      <w:r>
        <w:t xml:space="preserve">In the first instance a question or dispute shall be referred to the First Level for discussion and resolution. Any dispute which has not been resolved by the Customer and the Supplier acting at the First Level within 14 (fourteen) days of the matter being referred to the First Level may be escalated by either </w:t>
      </w:r>
      <w:r w:rsidR="04125745">
        <w:t>P</w:t>
      </w:r>
      <w:r>
        <w:t xml:space="preserve">arty to the Second Level by written notice to the other </w:t>
      </w:r>
      <w:r w:rsidR="280042A4">
        <w:t>P</w:t>
      </w:r>
      <w:r>
        <w:t xml:space="preserve">arty. If the dispute has not been resolved within 14 (fourteen) days of such second notice being received by the other </w:t>
      </w:r>
      <w:r w:rsidR="1A3E913C">
        <w:t>P</w:t>
      </w:r>
      <w:r>
        <w:t xml:space="preserve">arty, either </w:t>
      </w:r>
      <w:r w:rsidR="390DA358">
        <w:t>P</w:t>
      </w:r>
      <w:r>
        <w:t xml:space="preserve">arty may refer the dispute to the Third Level by a second written notice to the other </w:t>
      </w:r>
      <w:r w:rsidR="732CB38B">
        <w:t>P</w:t>
      </w:r>
      <w:r>
        <w:t>arty.</w:t>
      </w:r>
      <w:bookmarkEnd w:id="6"/>
    </w:p>
    <w:p w14:paraId="0D12A490" w14:textId="447C8632" w:rsidR="00584559" w:rsidRPr="00584559" w:rsidRDefault="00584559" w:rsidP="00584559">
      <w:pPr>
        <w:pStyle w:val="Overskrift2"/>
      </w:pPr>
      <w:r>
        <w:t xml:space="preserve">If the dispute is not resolved through </w:t>
      </w:r>
      <w:r w:rsidR="003A582C">
        <w:t xml:space="preserve">the procedure set out in clause </w:t>
      </w:r>
      <w:r w:rsidR="003A582C">
        <w:fldChar w:fldCharType="begin"/>
      </w:r>
      <w:r w:rsidR="003A582C">
        <w:instrText xml:space="preserve"> REF _Ref148393217 \r \h </w:instrText>
      </w:r>
      <w:r w:rsidR="003A582C">
        <w:fldChar w:fldCharType="separate"/>
      </w:r>
      <w:r w:rsidR="00442908">
        <w:t>7.1</w:t>
      </w:r>
      <w:r w:rsidR="003A582C">
        <w:fldChar w:fldCharType="end"/>
      </w:r>
      <w:r w:rsidR="003A582C">
        <w:t xml:space="preserve"> to </w:t>
      </w:r>
      <w:r w:rsidR="003A582C">
        <w:fldChar w:fldCharType="begin"/>
      </w:r>
      <w:r w:rsidR="003A582C">
        <w:instrText xml:space="preserve"> REF _Ref148393221 \r \h </w:instrText>
      </w:r>
      <w:r w:rsidR="003A582C">
        <w:fldChar w:fldCharType="separate"/>
      </w:r>
      <w:r w:rsidR="00442908">
        <w:t>7.4</w:t>
      </w:r>
      <w:r w:rsidR="003A582C">
        <w:fldChar w:fldCharType="end"/>
      </w:r>
      <w:r w:rsidR="003A582C">
        <w:t xml:space="preserve">, either Party </w:t>
      </w:r>
      <w:r w:rsidR="00624082">
        <w:t>may open formal dispute resolution in accordance with clause 21 of the Framework Agreement, or if both Parties agree</w:t>
      </w:r>
      <w:r w:rsidR="00A56EC0">
        <w:t xml:space="preserve">, </w:t>
      </w:r>
      <w:r w:rsidR="00292659">
        <w:t xml:space="preserve">resolve the dispute through the use of an independent expert in accordance with clause </w:t>
      </w:r>
      <w:r w:rsidR="00292659">
        <w:fldChar w:fldCharType="begin"/>
      </w:r>
      <w:r w:rsidR="00292659">
        <w:instrText xml:space="preserve"> REF _Ref148396150 \r \h </w:instrText>
      </w:r>
      <w:r w:rsidR="00292659">
        <w:fldChar w:fldCharType="separate"/>
      </w:r>
      <w:r w:rsidR="00442908">
        <w:t>7.6</w:t>
      </w:r>
      <w:r w:rsidR="00292659">
        <w:fldChar w:fldCharType="end"/>
      </w:r>
    </w:p>
    <w:p w14:paraId="4D9078DE" w14:textId="4A2CDC00" w:rsidR="00303A1D" w:rsidRDefault="0083674A" w:rsidP="00D52C6C">
      <w:pPr>
        <w:pStyle w:val="Overskrift2a"/>
      </w:pPr>
      <w:bookmarkStart w:id="7" w:name="_Ref148396150"/>
      <w:r>
        <w:t>Independent Expert</w:t>
      </w:r>
      <w:bookmarkEnd w:id="7"/>
    </w:p>
    <w:p w14:paraId="315B8745" w14:textId="71CA42A9" w:rsidR="00546A36" w:rsidRPr="00546A36" w:rsidRDefault="00584559">
      <w:pPr>
        <w:pStyle w:val="Overskrift3"/>
      </w:pPr>
      <w:r>
        <w:t>The</w:t>
      </w:r>
      <w:r w:rsidR="00546A36" w:rsidRPr="00546A36">
        <w:t xml:space="preserve"> Parties may agree to appoint an independent expert with qualifications the Parties deem to be best suited for the dispute. </w:t>
      </w:r>
    </w:p>
    <w:p w14:paraId="4E344D0A" w14:textId="70BB4431" w:rsidR="00AD75BA" w:rsidRDefault="00546A36" w:rsidP="00D52C6C">
      <w:pPr>
        <w:pStyle w:val="Overskrift3"/>
      </w:pPr>
      <w:r>
        <w:t>The Parties shall in advance choose either to:</w:t>
      </w:r>
    </w:p>
    <w:p w14:paraId="72E08098" w14:textId="32F8887C" w:rsidR="00546A36" w:rsidRPr="000E7F3C" w:rsidRDefault="00546A36" w:rsidP="00D52C6C">
      <w:pPr>
        <w:pStyle w:val="Nummerertliste"/>
        <w:numPr>
          <w:ilvl w:val="0"/>
          <w:numId w:val="20"/>
        </w:numPr>
        <w:rPr>
          <w:lang w:val="en-GB"/>
        </w:rPr>
      </w:pPr>
      <w:r w:rsidRPr="000E7F3C">
        <w:rPr>
          <w:lang w:val="en-GB"/>
        </w:rPr>
        <w:t>Comply with t</w:t>
      </w:r>
      <w:r w:rsidR="000E7F3C" w:rsidRPr="000E7F3C">
        <w:rPr>
          <w:lang w:val="en-GB"/>
        </w:rPr>
        <w:t>he solution proposed by the expert (binding); or</w:t>
      </w:r>
    </w:p>
    <w:p w14:paraId="16BB33B2" w14:textId="169E7C05" w:rsidR="000E7F3C" w:rsidRDefault="000E7F3C" w:rsidP="00D52C6C">
      <w:pPr>
        <w:pStyle w:val="Nummerertliste"/>
        <w:numPr>
          <w:ilvl w:val="0"/>
          <w:numId w:val="20"/>
        </w:numPr>
        <w:tabs>
          <w:tab w:val="num" w:pos="936"/>
        </w:tabs>
        <w:rPr>
          <w:lang w:val="en-GB"/>
        </w:rPr>
      </w:pPr>
      <w:r w:rsidRPr="000E7F3C">
        <w:rPr>
          <w:lang w:val="en-GB"/>
        </w:rPr>
        <w:t>Use the solution proposed by the expert as a basis for reaching a solution themselves (advisory)</w:t>
      </w:r>
    </w:p>
    <w:p w14:paraId="7C255BA8" w14:textId="643ED171" w:rsidR="00D02556" w:rsidRPr="00172A1B" w:rsidRDefault="00D02556" w:rsidP="00584559">
      <w:pPr>
        <w:pStyle w:val="Overskrift3"/>
      </w:pPr>
      <w:proofErr w:type="gramStart"/>
      <w:r>
        <w:t>The</w:t>
      </w:r>
      <w:proofErr w:type="gramEnd"/>
      <w:r>
        <w:t xml:space="preserve"> </w:t>
      </w:r>
      <w:r w:rsidR="00AC7E2B">
        <w:t>i</w:t>
      </w:r>
      <w:r>
        <w:t xml:space="preserve">ndependent </w:t>
      </w:r>
      <w:r w:rsidR="00AC7E2B">
        <w:t>e</w:t>
      </w:r>
      <w:r>
        <w:t>xpert shall propose a solution in writing within 10 (ten) days after being appointed as an expert.</w:t>
      </w:r>
    </w:p>
    <w:p w14:paraId="2C6A6978" w14:textId="16CEA83F" w:rsidR="0096114B" w:rsidRDefault="00172A1B" w:rsidP="00584559">
      <w:pPr>
        <w:pStyle w:val="Overskrift3"/>
      </w:pPr>
      <w:r>
        <w:t xml:space="preserve">The detailed procedure for this work shall be determined by the </w:t>
      </w:r>
      <w:r w:rsidR="00AC7E2B">
        <w:t>i</w:t>
      </w:r>
      <w:r>
        <w:t xml:space="preserve">ndependent </w:t>
      </w:r>
      <w:r w:rsidR="00AC7E2B">
        <w:t>e</w:t>
      </w:r>
      <w:r>
        <w:t>xpert in consultation with the Parties.</w:t>
      </w:r>
    </w:p>
    <w:sectPr w:rsidR="0096114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0163" w14:textId="77777777" w:rsidR="00E37159" w:rsidRDefault="00E37159" w:rsidP="0034735B">
      <w:pPr>
        <w:spacing w:after="0" w:line="240" w:lineRule="auto"/>
      </w:pPr>
      <w:r>
        <w:separator/>
      </w:r>
    </w:p>
  </w:endnote>
  <w:endnote w:type="continuationSeparator" w:id="0">
    <w:p w14:paraId="5AEB8AF4" w14:textId="77777777" w:rsidR="00E37159" w:rsidRDefault="00E37159" w:rsidP="0034735B">
      <w:pPr>
        <w:spacing w:after="0" w:line="240" w:lineRule="auto"/>
      </w:pPr>
      <w:r>
        <w:continuationSeparator/>
      </w:r>
    </w:p>
  </w:endnote>
  <w:endnote w:type="continuationNotice" w:id="1">
    <w:p w14:paraId="13A52E0F" w14:textId="77777777" w:rsidR="00E37159" w:rsidRDefault="00E37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227242"/>
      <w:docPartObj>
        <w:docPartGallery w:val="Page Numbers (Bottom of Page)"/>
        <w:docPartUnique/>
      </w:docPartObj>
    </w:sdtPr>
    <w:sdtEndPr/>
    <w:sdtContent>
      <w:sdt>
        <w:sdtPr>
          <w:id w:val="1728636285"/>
          <w:docPartObj>
            <w:docPartGallery w:val="Page Numbers (Top of Page)"/>
            <w:docPartUnique/>
          </w:docPartObj>
        </w:sdtPr>
        <w:sdtEndPr/>
        <w:sdtContent>
          <w:p w14:paraId="38F875CF" w14:textId="6A530A09" w:rsidR="00400A6E" w:rsidRDefault="00400A6E">
            <w:pPr>
              <w:pStyle w:val="Bunntekst"/>
              <w:jc w:val="center"/>
            </w:pPr>
            <w:r>
              <w:rPr>
                <w:lang w:val="nb-NO"/>
              </w:rPr>
              <w:t xml:space="preserve">Page </w:t>
            </w:r>
            <w:r>
              <w:rPr>
                <w:b/>
                <w:bCs/>
                <w:sz w:val="24"/>
                <w:szCs w:val="24"/>
              </w:rPr>
              <w:fldChar w:fldCharType="begin"/>
            </w:r>
            <w:r>
              <w:rPr>
                <w:b/>
                <w:bCs/>
              </w:rPr>
              <w:instrText>PAGE</w:instrText>
            </w:r>
            <w:r>
              <w:rPr>
                <w:b/>
                <w:bCs/>
                <w:sz w:val="24"/>
                <w:szCs w:val="24"/>
              </w:rPr>
              <w:fldChar w:fldCharType="separate"/>
            </w:r>
            <w:r>
              <w:rPr>
                <w:b/>
                <w:bCs/>
                <w:lang w:val="nb-NO"/>
              </w:rPr>
              <w:t>2</w:t>
            </w:r>
            <w:r>
              <w:rPr>
                <w:b/>
                <w:bCs/>
                <w:sz w:val="24"/>
                <w:szCs w:val="24"/>
              </w:rPr>
              <w:fldChar w:fldCharType="end"/>
            </w:r>
            <w:r>
              <w:rPr>
                <w:lang w:val="nb-NO"/>
              </w:rPr>
              <w:t xml:space="preserve"> </w:t>
            </w:r>
            <w:proofErr w:type="spellStart"/>
            <w:r>
              <w:rPr>
                <w:lang w:val="nb-NO"/>
              </w:rPr>
              <w:t>of</w:t>
            </w:r>
            <w:proofErr w:type="spellEnd"/>
            <w:r>
              <w:rPr>
                <w:lang w:val="nb-NO"/>
              </w:rPr>
              <w:t xml:space="preserve"> </w:t>
            </w:r>
            <w:r>
              <w:rPr>
                <w:b/>
                <w:bCs/>
                <w:sz w:val="24"/>
                <w:szCs w:val="24"/>
              </w:rPr>
              <w:fldChar w:fldCharType="begin"/>
            </w:r>
            <w:r>
              <w:rPr>
                <w:b/>
                <w:bCs/>
              </w:rPr>
              <w:instrText>NUMPAGES</w:instrText>
            </w:r>
            <w:r>
              <w:rPr>
                <w:b/>
                <w:bCs/>
                <w:sz w:val="24"/>
                <w:szCs w:val="24"/>
              </w:rPr>
              <w:fldChar w:fldCharType="separate"/>
            </w:r>
            <w:r>
              <w:rPr>
                <w:b/>
                <w:bCs/>
                <w:lang w:val="nb-NO"/>
              </w:rPr>
              <w:t>2</w:t>
            </w:r>
            <w:r>
              <w:rPr>
                <w:b/>
                <w:bCs/>
                <w:sz w:val="24"/>
                <w:szCs w:val="24"/>
              </w:rPr>
              <w:fldChar w:fldCharType="end"/>
            </w:r>
          </w:p>
        </w:sdtContent>
      </w:sdt>
    </w:sdtContent>
  </w:sdt>
  <w:p w14:paraId="1C40AC49" w14:textId="77777777" w:rsidR="00400A6E" w:rsidRDefault="00400A6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4890" w14:textId="77777777" w:rsidR="00E37159" w:rsidRDefault="00E37159" w:rsidP="0034735B">
      <w:pPr>
        <w:spacing w:after="0" w:line="240" w:lineRule="auto"/>
      </w:pPr>
      <w:r>
        <w:separator/>
      </w:r>
    </w:p>
  </w:footnote>
  <w:footnote w:type="continuationSeparator" w:id="0">
    <w:p w14:paraId="3AC9AA6D" w14:textId="77777777" w:rsidR="00E37159" w:rsidRDefault="00E37159" w:rsidP="0034735B">
      <w:pPr>
        <w:spacing w:after="0" w:line="240" w:lineRule="auto"/>
      </w:pPr>
      <w:r>
        <w:continuationSeparator/>
      </w:r>
    </w:p>
  </w:footnote>
  <w:footnote w:type="continuationNotice" w:id="1">
    <w:p w14:paraId="2B591E0D" w14:textId="77777777" w:rsidR="00E37159" w:rsidRDefault="00E371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0761" w14:textId="534F091C" w:rsidR="00A705ED" w:rsidRDefault="00D76142">
    <w:pPr>
      <w:pStyle w:val="Topptekst"/>
    </w:pPr>
    <w:fldSimple w:instr="STYLEREF  Undertittel  \* MERGEFORMAT">
      <w:r w:rsidR="007C7C0C">
        <w:rPr>
          <w:noProof/>
        </w:rPr>
        <w:t>Appendix 3 – Governance and reporting</w:t>
      </w:r>
    </w:fldSimple>
    <w:r w:rsidR="008F69D4">
      <w:rPr>
        <w:noProof/>
      </w:rPr>
      <w:tab/>
    </w:r>
    <w:r w:rsidR="008F69D4">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D4C522"/>
    <w:lvl w:ilvl="0">
      <w:start w:val="1"/>
      <w:numFmt w:val="decimal"/>
      <w:lvlText w:val="%1."/>
      <w:lvlJc w:val="left"/>
      <w:pPr>
        <w:tabs>
          <w:tab w:val="num" w:pos="360"/>
        </w:tabs>
        <w:ind w:left="360" w:hanging="360"/>
      </w:pPr>
    </w:lvl>
  </w:abstractNum>
  <w:abstractNum w:abstractNumId="1" w15:restartNumberingAfterBreak="0">
    <w:nsid w:val="032D7B12"/>
    <w:multiLevelType w:val="hybridMultilevel"/>
    <w:tmpl w:val="22383E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EF7A55"/>
    <w:multiLevelType w:val="hybridMultilevel"/>
    <w:tmpl w:val="E0E078CA"/>
    <w:lvl w:ilvl="0" w:tplc="19146EA0">
      <w:start w:val="1"/>
      <w:numFmt w:val="lowerLetter"/>
      <w:lvlText w:val="%1)"/>
      <w:lvlJc w:val="left"/>
      <w:pPr>
        <w:ind w:left="1298" w:hanging="36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7F53F9"/>
    <w:multiLevelType w:val="hybridMultilevel"/>
    <w:tmpl w:val="75AE22FE"/>
    <w:lvl w:ilvl="0" w:tplc="68D062FC">
      <w:start w:val="1"/>
      <w:numFmt w:val="lowerLetter"/>
      <w:lvlText w:val="%1)"/>
      <w:lvlJc w:val="left"/>
      <w:pPr>
        <w:ind w:left="144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5A030B"/>
    <w:multiLevelType w:val="hybridMultilevel"/>
    <w:tmpl w:val="CB343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ED1441"/>
    <w:multiLevelType w:val="hybridMultilevel"/>
    <w:tmpl w:val="171E18D8"/>
    <w:lvl w:ilvl="0" w:tplc="04140017">
      <w:start w:val="1"/>
      <w:numFmt w:val="lowerLetter"/>
      <w:lvlText w:val="%1)"/>
      <w:lvlJc w:val="left"/>
      <w:pPr>
        <w:ind w:left="1296" w:hanging="360"/>
      </w:pPr>
      <w:rPr>
        <w:rFonts w:hint="default"/>
      </w:rPr>
    </w:lvl>
    <w:lvl w:ilvl="1" w:tplc="04140019" w:tentative="1">
      <w:start w:val="1"/>
      <w:numFmt w:val="lowerLetter"/>
      <w:lvlText w:val="%2."/>
      <w:lvlJc w:val="left"/>
      <w:pPr>
        <w:ind w:left="2016" w:hanging="360"/>
      </w:pPr>
    </w:lvl>
    <w:lvl w:ilvl="2" w:tplc="0414001B" w:tentative="1">
      <w:start w:val="1"/>
      <w:numFmt w:val="lowerRoman"/>
      <w:lvlText w:val="%3."/>
      <w:lvlJc w:val="right"/>
      <w:pPr>
        <w:ind w:left="2736" w:hanging="180"/>
      </w:pPr>
    </w:lvl>
    <w:lvl w:ilvl="3" w:tplc="0414000F" w:tentative="1">
      <w:start w:val="1"/>
      <w:numFmt w:val="decimal"/>
      <w:lvlText w:val="%4."/>
      <w:lvlJc w:val="left"/>
      <w:pPr>
        <w:ind w:left="3456" w:hanging="360"/>
      </w:pPr>
    </w:lvl>
    <w:lvl w:ilvl="4" w:tplc="04140019" w:tentative="1">
      <w:start w:val="1"/>
      <w:numFmt w:val="lowerLetter"/>
      <w:lvlText w:val="%5."/>
      <w:lvlJc w:val="left"/>
      <w:pPr>
        <w:ind w:left="4176" w:hanging="360"/>
      </w:pPr>
    </w:lvl>
    <w:lvl w:ilvl="5" w:tplc="0414001B" w:tentative="1">
      <w:start w:val="1"/>
      <w:numFmt w:val="lowerRoman"/>
      <w:lvlText w:val="%6."/>
      <w:lvlJc w:val="right"/>
      <w:pPr>
        <w:ind w:left="4896" w:hanging="180"/>
      </w:pPr>
    </w:lvl>
    <w:lvl w:ilvl="6" w:tplc="0414000F" w:tentative="1">
      <w:start w:val="1"/>
      <w:numFmt w:val="decimal"/>
      <w:lvlText w:val="%7."/>
      <w:lvlJc w:val="left"/>
      <w:pPr>
        <w:ind w:left="5616" w:hanging="360"/>
      </w:pPr>
    </w:lvl>
    <w:lvl w:ilvl="7" w:tplc="04140019" w:tentative="1">
      <w:start w:val="1"/>
      <w:numFmt w:val="lowerLetter"/>
      <w:lvlText w:val="%8."/>
      <w:lvlJc w:val="left"/>
      <w:pPr>
        <w:ind w:left="6336" w:hanging="360"/>
      </w:pPr>
    </w:lvl>
    <w:lvl w:ilvl="8" w:tplc="0414001B" w:tentative="1">
      <w:start w:val="1"/>
      <w:numFmt w:val="lowerRoman"/>
      <w:lvlText w:val="%9."/>
      <w:lvlJc w:val="right"/>
      <w:pPr>
        <w:ind w:left="7056" w:hanging="180"/>
      </w:pPr>
    </w:lvl>
  </w:abstractNum>
  <w:abstractNum w:abstractNumId="6" w15:restartNumberingAfterBreak="0">
    <w:nsid w:val="268D2107"/>
    <w:multiLevelType w:val="hybridMultilevel"/>
    <w:tmpl w:val="EEBC4B22"/>
    <w:lvl w:ilvl="0" w:tplc="0414000F">
      <w:start w:val="1"/>
      <w:numFmt w:val="decimal"/>
      <w:lvlText w:val="%1."/>
      <w:lvlJc w:val="left"/>
      <w:pPr>
        <w:ind w:left="1296" w:hanging="360"/>
      </w:pPr>
      <w:rPr>
        <w:rFonts w:hint="default"/>
      </w:rPr>
    </w:lvl>
    <w:lvl w:ilvl="1" w:tplc="04140019" w:tentative="1">
      <w:start w:val="1"/>
      <w:numFmt w:val="lowerLetter"/>
      <w:lvlText w:val="%2."/>
      <w:lvlJc w:val="left"/>
      <w:pPr>
        <w:ind w:left="2016" w:hanging="360"/>
      </w:pPr>
    </w:lvl>
    <w:lvl w:ilvl="2" w:tplc="0414001B" w:tentative="1">
      <w:start w:val="1"/>
      <w:numFmt w:val="lowerRoman"/>
      <w:lvlText w:val="%3."/>
      <w:lvlJc w:val="right"/>
      <w:pPr>
        <w:ind w:left="2736" w:hanging="180"/>
      </w:pPr>
    </w:lvl>
    <w:lvl w:ilvl="3" w:tplc="0414000F" w:tentative="1">
      <w:start w:val="1"/>
      <w:numFmt w:val="decimal"/>
      <w:lvlText w:val="%4."/>
      <w:lvlJc w:val="left"/>
      <w:pPr>
        <w:ind w:left="3456" w:hanging="360"/>
      </w:pPr>
    </w:lvl>
    <w:lvl w:ilvl="4" w:tplc="04140019" w:tentative="1">
      <w:start w:val="1"/>
      <w:numFmt w:val="lowerLetter"/>
      <w:lvlText w:val="%5."/>
      <w:lvlJc w:val="left"/>
      <w:pPr>
        <w:ind w:left="4176" w:hanging="360"/>
      </w:pPr>
    </w:lvl>
    <w:lvl w:ilvl="5" w:tplc="0414001B" w:tentative="1">
      <w:start w:val="1"/>
      <w:numFmt w:val="lowerRoman"/>
      <w:lvlText w:val="%6."/>
      <w:lvlJc w:val="right"/>
      <w:pPr>
        <w:ind w:left="4896" w:hanging="180"/>
      </w:pPr>
    </w:lvl>
    <w:lvl w:ilvl="6" w:tplc="0414000F" w:tentative="1">
      <w:start w:val="1"/>
      <w:numFmt w:val="decimal"/>
      <w:lvlText w:val="%7."/>
      <w:lvlJc w:val="left"/>
      <w:pPr>
        <w:ind w:left="5616" w:hanging="360"/>
      </w:pPr>
    </w:lvl>
    <w:lvl w:ilvl="7" w:tplc="04140019" w:tentative="1">
      <w:start w:val="1"/>
      <w:numFmt w:val="lowerLetter"/>
      <w:lvlText w:val="%8."/>
      <w:lvlJc w:val="left"/>
      <w:pPr>
        <w:ind w:left="6336" w:hanging="360"/>
      </w:pPr>
    </w:lvl>
    <w:lvl w:ilvl="8" w:tplc="0414001B" w:tentative="1">
      <w:start w:val="1"/>
      <w:numFmt w:val="lowerRoman"/>
      <w:lvlText w:val="%9."/>
      <w:lvlJc w:val="right"/>
      <w:pPr>
        <w:ind w:left="7056" w:hanging="180"/>
      </w:pPr>
    </w:lvl>
  </w:abstractNum>
  <w:abstractNum w:abstractNumId="7" w15:restartNumberingAfterBreak="0">
    <w:nsid w:val="2BF04A45"/>
    <w:multiLevelType w:val="hybridMultilevel"/>
    <w:tmpl w:val="51848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4244F8"/>
    <w:multiLevelType w:val="hybridMultilevel"/>
    <w:tmpl w:val="51848C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61A312B"/>
    <w:multiLevelType w:val="multilevel"/>
    <w:tmpl w:val="A9D26B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85D16E4"/>
    <w:multiLevelType w:val="hybridMultilevel"/>
    <w:tmpl w:val="E0E078CA"/>
    <w:lvl w:ilvl="0" w:tplc="FFFFFFFF">
      <w:start w:val="1"/>
      <w:numFmt w:val="lowerLetter"/>
      <w:lvlText w:val="%1)"/>
      <w:lvlJc w:val="left"/>
      <w:pPr>
        <w:ind w:left="1298" w:hanging="36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091AC0"/>
    <w:multiLevelType w:val="multilevel"/>
    <w:tmpl w:val="91A84C32"/>
    <w:lvl w:ilvl="0">
      <w:start w:val="1"/>
      <w:numFmt w:val="decimal"/>
      <w:pStyle w:val="Overskrift1"/>
      <w:lvlText w:val="%1"/>
      <w:lvlJc w:val="left"/>
      <w:pPr>
        <w:ind w:left="936" w:hanging="936"/>
      </w:pPr>
      <w:rPr>
        <w:rFonts w:hint="default"/>
      </w:rPr>
    </w:lvl>
    <w:lvl w:ilvl="1">
      <w:start w:val="1"/>
      <w:numFmt w:val="decimal"/>
      <w:pStyle w:val="Overskrift2"/>
      <w:lvlText w:val="%1.%2"/>
      <w:lvlJc w:val="left"/>
      <w:pPr>
        <w:ind w:left="936" w:hanging="936"/>
      </w:pPr>
      <w:rPr>
        <w:rFonts w:hint="default"/>
      </w:rPr>
    </w:lvl>
    <w:lvl w:ilvl="2">
      <w:start w:val="1"/>
      <w:numFmt w:val="decimal"/>
      <w:pStyle w:val="Overskrift3"/>
      <w:lvlText w:val="%1.%2.%3"/>
      <w:lvlJc w:val="left"/>
      <w:pPr>
        <w:ind w:left="936" w:hanging="936"/>
      </w:pPr>
      <w:rPr>
        <w:rFonts w:hint="default"/>
      </w:rPr>
    </w:lvl>
    <w:lvl w:ilvl="3">
      <w:start w:val="1"/>
      <w:numFmt w:val="decimal"/>
      <w:pStyle w:val="Overskrift4"/>
      <w:lvlText w:val="%1.%2.%3.%4"/>
      <w:lvlJc w:val="left"/>
      <w:pPr>
        <w:ind w:left="936" w:hanging="936"/>
      </w:pPr>
      <w:rPr>
        <w:rFonts w:hint="default"/>
      </w:rPr>
    </w:lvl>
    <w:lvl w:ilvl="4">
      <w:start w:val="1"/>
      <w:numFmt w:val="decimal"/>
      <w:pStyle w:val="Overskrift5"/>
      <w:lvlText w:val="%1.%2.%3.%4.%5"/>
      <w:lvlJc w:val="left"/>
      <w:pPr>
        <w:ind w:left="936" w:hanging="936"/>
      </w:pPr>
      <w:rPr>
        <w:rFonts w:hint="default"/>
      </w:rPr>
    </w:lvl>
    <w:lvl w:ilvl="5">
      <w:start w:val="1"/>
      <w:numFmt w:val="decimal"/>
      <w:pStyle w:val="Overskrift6"/>
      <w:lvlText w:val="%1.%2.%3.%4.%5.%6"/>
      <w:lvlJc w:val="left"/>
      <w:pPr>
        <w:ind w:left="936" w:hanging="936"/>
      </w:pPr>
      <w:rPr>
        <w:rFonts w:hint="default"/>
      </w:rPr>
    </w:lvl>
    <w:lvl w:ilvl="6">
      <w:start w:val="1"/>
      <w:numFmt w:val="decimal"/>
      <w:pStyle w:val="Overskrift7"/>
      <w:lvlText w:val="%1.%2.%3.%4.%5.%6.%7"/>
      <w:lvlJc w:val="left"/>
      <w:pPr>
        <w:ind w:left="936" w:hanging="936"/>
      </w:pPr>
      <w:rPr>
        <w:rFonts w:hint="default"/>
      </w:rPr>
    </w:lvl>
    <w:lvl w:ilvl="7">
      <w:start w:val="1"/>
      <w:numFmt w:val="decimal"/>
      <w:pStyle w:val="Overskrift8"/>
      <w:lvlText w:val="%1.%2.%3.%4.%5.%6.%7.%8"/>
      <w:lvlJc w:val="left"/>
      <w:pPr>
        <w:ind w:left="936" w:hanging="936"/>
      </w:pPr>
      <w:rPr>
        <w:rFonts w:hint="default"/>
      </w:rPr>
    </w:lvl>
    <w:lvl w:ilvl="8">
      <w:start w:val="1"/>
      <w:numFmt w:val="decimal"/>
      <w:pStyle w:val="Overskrift9"/>
      <w:lvlText w:val="%1.%2.%3.%4.%5.%6.%7.%8.%9"/>
      <w:lvlJc w:val="left"/>
      <w:pPr>
        <w:ind w:left="936" w:hanging="936"/>
      </w:pPr>
      <w:rPr>
        <w:rFonts w:hint="default"/>
      </w:rPr>
    </w:lvl>
  </w:abstractNum>
  <w:abstractNum w:abstractNumId="12" w15:restartNumberingAfterBreak="0">
    <w:nsid w:val="4AC64DBD"/>
    <w:multiLevelType w:val="hybridMultilevel"/>
    <w:tmpl w:val="CE88B074"/>
    <w:lvl w:ilvl="0" w:tplc="FB6A9606">
      <w:start w:val="1"/>
      <w:numFmt w:val="lowerLetter"/>
      <w:lvlText w:val="%1)"/>
      <w:lvlJc w:val="left"/>
      <w:pPr>
        <w:ind w:left="1296" w:hanging="360"/>
      </w:pPr>
      <w:rPr>
        <w:rFonts w:hint="default"/>
      </w:rPr>
    </w:lvl>
    <w:lvl w:ilvl="1" w:tplc="04140019" w:tentative="1">
      <w:start w:val="1"/>
      <w:numFmt w:val="lowerLetter"/>
      <w:lvlText w:val="%2."/>
      <w:lvlJc w:val="left"/>
      <w:pPr>
        <w:ind w:left="2016" w:hanging="360"/>
      </w:pPr>
    </w:lvl>
    <w:lvl w:ilvl="2" w:tplc="0414001B" w:tentative="1">
      <w:start w:val="1"/>
      <w:numFmt w:val="lowerRoman"/>
      <w:lvlText w:val="%3."/>
      <w:lvlJc w:val="right"/>
      <w:pPr>
        <w:ind w:left="2736" w:hanging="180"/>
      </w:pPr>
    </w:lvl>
    <w:lvl w:ilvl="3" w:tplc="0414000F" w:tentative="1">
      <w:start w:val="1"/>
      <w:numFmt w:val="decimal"/>
      <w:lvlText w:val="%4."/>
      <w:lvlJc w:val="left"/>
      <w:pPr>
        <w:ind w:left="3456" w:hanging="360"/>
      </w:pPr>
    </w:lvl>
    <w:lvl w:ilvl="4" w:tplc="04140019" w:tentative="1">
      <w:start w:val="1"/>
      <w:numFmt w:val="lowerLetter"/>
      <w:lvlText w:val="%5."/>
      <w:lvlJc w:val="left"/>
      <w:pPr>
        <w:ind w:left="4176" w:hanging="360"/>
      </w:pPr>
    </w:lvl>
    <w:lvl w:ilvl="5" w:tplc="0414001B" w:tentative="1">
      <w:start w:val="1"/>
      <w:numFmt w:val="lowerRoman"/>
      <w:lvlText w:val="%6."/>
      <w:lvlJc w:val="right"/>
      <w:pPr>
        <w:ind w:left="4896" w:hanging="180"/>
      </w:pPr>
    </w:lvl>
    <w:lvl w:ilvl="6" w:tplc="0414000F" w:tentative="1">
      <w:start w:val="1"/>
      <w:numFmt w:val="decimal"/>
      <w:lvlText w:val="%7."/>
      <w:lvlJc w:val="left"/>
      <w:pPr>
        <w:ind w:left="5616" w:hanging="360"/>
      </w:pPr>
    </w:lvl>
    <w:lvl w:ilvl="7" w:tplc="04140019" w:tentative="1">
      <w:start w:val="1"/>
      <w:numFmt w:val="lowerLetter"/>
      <w:lvlText w:val="%8."/>
      <w:lvlJc w:val="left"/>
      <w:pPr>
        <w:ind w:left="6336" w:hanging="360"/>
      </w:pPr>
    </w:lvl>
    <w:lvl w:ilvl="8" w:tplc="0414001B" w:tentative="1">
      <w:start w:val="1"/>
      <w:numFmt w:val="lowerRoman"/>
      <w:lvlText w:val="%9."/>
      <w:lvlJc w:val="right"/>
      <w:pPr>
        <w:ind w:left="7056" w:hanging="180"/>
      </w:pPr>
    </w:lvl>
  </w:abstractNum>
  <w:abstractNum w:abstractNumId="13" w15:restartNumberingAfterBreak="0">
    <w:nsid w:val="53762F8D"/>
    <w:multiLevelType w:val="hybridMultilevel"/>
    <w:tmpl w:val="483EF9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65545FC"/>
    <w:multiLevelType w:val="hybridMultilevel"/>
    <w:tmpl w:val="F3DE2ADC"/>
    <w:lvl w:ilvl="0" w:tplc="0414000F">
      <w:start w:val="1"/>
      <w:numFmt w:val="decimal"/>
      <w:lvlText w:val="%1."/>
      <w:lvlJc w:val="left"/>
      <w:pPr>
        <w:ind w:left="1296" w:hanging="360"/>
      </w:pPr>
      <w:rPr>
        <w:rFonts w:hint="default"/>
      </w:rPr>
    </w:lvl>
    <w:lvl w:ilvl="1" w:tplc="04140019" w:tentative="1">
      <w:start w:val="1"/>
      <w:numFmt w:val="lowerLetter"/>
      <w:lvlText w:val="%2."/>
      <w:lvlJc w:val="left"/>
      <w:pPr>
        <w:ind w:left="2016" w:hanging="360"/>
      </w:pPr>
    </w:lvl>
    <w:lvl w:ilvl="2" w:tplc="0414001B" w:tentative="1">
      <w:start w:val="1"/>
      <w:numFmt w:val="lowerRoman"/>
      <w:lvlText w:val="%3."/>
      <w:lvlJc w:val="right"/>
      <w:pPr>
        <w:ind w:left="2736" w:hanging="180"/>
      </w:pPr>
    </w:lvl>
    <w:lvl w:ilvl="3" w:tplc="0414000F" w:tentative="1">
      <w:start w:val="1"/>
      <w:numFmt w:val="decimal"/>
      <w:lvlText w:val="%4."/>
      <w:lvlJc w:val="left"/>
      <w:pPr>
        <w:ind w:left="3456" w:hanging="360"/>
      </w:pPr>
    </w:lvl>
    <w:lvl w:ilvl="4" w:tplc="04140019" w:tentative="1">
      <w:start w:val="1"/>
      <w:numFmt w:val="lowerLetter"/>
      <w:lvlText w:val="%5."/>
      <w:lvlJc w:val="left"/>
      <w:pPr>
        <w:ind w:left="4176" w:hanging="360"/>
      </w:pPr>
    </w:lvl>
    <w:lvl w:ilvl="5" w:tplc="0414001B" w:tentative="1">
      <w:start w:val="1"/>
      <w:numFmt w:val="lowerRoman"/>
      <w:lvlText w:val="%6."/>
      <w:lvlJc w:val="right"/>
      <w:pPr>
        <w:ind w:left="4896" w:hanging="180"/>
      </w:pPr>
    </w:lvl>
    <w:lvl w:ilvl="6" w:tplc="0414000F" w:tentative="1">
      <w:start w:val="1"/>
      <w:numFmt w:val="decimal"/>
      <w:lvlText w:val="%7."/>
      <w:lvlJc w:val="left"/>
      <w:pPr>
        <w:ind w:left="5616" w:hanging="360"/>
      </w:pPr>
    </w:lvl>
    <w:lvl w:ilvl="7" w:tplc="04140019" w:tentative="1">
      <w:start w:val="1"/>
      <w:numFmt w:val="lowerLetter"/>
      <w:lvlText w:val="%8."/>
      <w:lvlJc w:val="left"/>
      <w:pPr>
        <w:ind w:left="6336" w:hanging="360"/>
      </w:pPr>
    </w:lvl>
    <w:lvl w:ilvl="8" w:tplc="0414001B" w:tentative="1">
      <w:start w:val="1"/>
      <w:numFmt w:val="lowerRoman"/>
      <w:lvlText w:val="%9."/>
      <w:lvlJc w:val="right"/>
      <w:pPr>
        <w:ind w:left="7056" w:hanging="180"/>
      </w:pPr>
    </w:lvl>
  </w:abstractNum>
  <w:abstractNum w:abstractNumId="15" w15:restartNumberingAfterBreak="0">
    <w:nsid w:val="5BEB1CB9"/>
    <w:multiLevelType w:val="multilevel"/>
    <w:tmpl w:val="EA705A74"/>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tabs>
          <w:tab w:val="num" w:pos="936"/>
        </w:tabs>
        <w:ind w:left="1418" w:hanging="482"/>
      </w:pPr>
      <w:rPr>
        <w:rFonts w:ascii="Arial" w:eastAsiaTheme="minorHAnsi" w:hAnsi="Arial" w:cs="Arial"/>
        <w:strike w:val="0"/>
        <w:dstrike w:val="0"/>
      </w:rPr>
    </w:lvl>
    <w:lvl w:ilvl="7">
      <w:start w:val="1"/>
      <w:numFmt w:val="decimal"/>
      <w:lvlText w:val="%8)"/>
      <w:lvlJc w:val="left"/>
      <w:pPr>
        <w:tabs>
          <w:tab w:val="num" w:pos="936"/>
        </w:tabs>
        <w:ind w:left="1418" w:hanging="482"/>
      </w:pPr>
      <w:rPr>
        <w:rFonts w:hint="default"/>
        <w:strike w:val="0"/>
        <w:dstrike w:val="0"/>
      </w:rPr>
    </w:lvl>
    <w:lvl w:ilvl="8">
      <w:start w:val="1"/>
      <w:numFmt w:val="none"/>
      <w:lvlText w:val=""/>
      <w:lvlJc w:val="right"/>
      <w:pPr>
        <w:tabs>
          <w:tab w:val="num" w:pos="935"/>
        </w:tabs>
        <w:ind w:left="935" w:hanging="368"/>
      </w:pPr>
      <w:rPr>
        <w:rFonts w:hint="default"/>
        <w:strike w:val="0"/>
        <w:dstrike w:val="0"/>
      </w:rPr>
    </w:lvl>
  </w:abstractNum>
  <w:abstractNum w:abstractNumId="16" w15:restartNumberingAfterBreak="0">
    <w:nsid w:val="5E8309A7"/>
    <w:multiLevelType w:val="hybridMultilevel"/>
    <w:tmpl w:val="D422C326"/>
    <w:lvl w:ilvl="0" w:tplc="0414000F">
      <w:start w:val="1"/>
      <w:numFmt w:val="decimal"/>
      <w:lvlText w:val="%1."/>
      <w:lvlJc w:val="left"/>
      <w:pPr>
        <w:ind w:left="1296" w:hanging="360"/>
      </w:pPr>
      <w:rPr>
        <w:rFonts w:hint="default"/>
      </w:rPr>
    </w:lvl>
    <w:lvl w:ilvl="1" w:tplc="04140019" w:tentative="1">
      <w:start w:val="1"/>
      <w:numFmt w:val="lowerLetter"/>
      <w:lvlText w:val="%2."/>
      <w:lvlJc w:val="left"/>
      <w:pPr>
        <w:ind w:left="2016" w:hanging="360"/>
      </w:pPr>
    </w:lvl>
    <w:lvl w:ilvl="2" w:tplc="0414001B" w:tentative="1">
      <w:start w:val="1"/>
      <w:numFmt w:val="lowerRoman"/>
      <w:lvlText w:val="%3."/>
      <w:lvlJc w:val="right"/>
      <w:pPr>
        <w:ind w:left="2736" w:hanging="180"/>
      </w:pPr>
    </w:lvl>
    <w:lvl w:ilvl="3" w:tplc="0414000F" w:tentative="1">
      <w:start w:val="1"/>
      <w:numFmt w:val="decimal"/>
      <w:lvlText w:val="%4."/>
      <w:lvlJc w:val="left"/>
      <w:pPr>
        <w:ind w:left="3456" w:hanging="360"/>
      </w:pPr>
    </w:lvl>
    <w:lvl w:ilvl="4" w:tplc="04140019" w:tentative="1">
      <w:start w:val="1"/>
      <w:numFmt w:val="lowerLetter"/>
      <w:lvlText w:val="%5."/>
      <w:lvlJc w:val="left"/>
      <w:pPr>
        <w:ind w:left="4176" w:hanging="360"/>
      </w:pPr>
    </w:lvl>
    <w:lvl w:ilvl="5" w:tplc="0414001B" w:tentative="1">
      <w:start w:val="1"/>
      <w:numFmt w:val="lowerRoman"/>
      <w:lvlText w:val="%6."/>
      <w:lvlJc w:val="right"/>
      <w:pPr>
        <w:ind w:left="4896" w:hanging="180"/>
      </w:pPr>
    </w:lvl>
    <w:lvl w:ilvl="6" w:tplc="0414000F" w:tentative="1">
      <w:start w:val="1"/>
      <w:numFmt w:val="decimal"/>
      <w:lvlText w:val="%7."/>
      <w:lvlJc w:val="left"/>
      <w:pPr>
        <w:ind w:left="5616" w:hanging="360"/>
      </w:pPr>
    </w:lvl>
    <w:lvl w:ilvl="7" w:tplc="04140019" w:tentative="1">
      <w:start w:val="1"/>
      <w:numFmt w:val="lowerLetter"/>
      <w:lvlText w:val="%8."/>
      <w:lvlJc w:val="left"/>
      <w:pPr>
        <w:ind w:left="6336" w:hanging="360"/>
      </w:pPr>
    </w:lvl>
    <w:lvl w:ilvl="8" w:tplc="0414001B" w:tentative="1">
      <w:start w:val="1"/>
      <w:numFmt w:val="lowerRoman"/>
      <w:lvlText w:val="%9."/>
      <w:lvlJc w:val="right"/>
      <w:pPr>
        <w:ind w:left="7056" w:hanging="180"/>
      </w:pPr>
    </w:lvl>
  </w:abstractNum>
  <w:abstractNum w:abstractNumId="17" w15:restartNumberingAfterBreak="0">
    <w:nsid w:val="60B538C1"/>
    <w:multiLevelType w:val="hybridMultilevel"/>
    <w:tmpl w:val="14BCD4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7E6156A"/>
    <w:multiLevelType w:val="hybridMultilevel"/>
    <w:tmpl w:val="E0E078CA"/>
    <w:lvl w:ilvl="0" w:tplc="FFFFFFFF">
      <w:start w:val="1"/>
      <w:numFmt w:val="lowerLetter"/>
      <w:lvlText w:val="%1)"/>
      <w:lvlJc w:val="left"/>
      <w:pPr>
        <w:ind w:left="1298" w:hanging="36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1BAFB0"/>
    <w:multiLevelType w:val="hybridMultilevel"/>
    <w:tmpl w:val="B30692D2"/>
    <w:lvl w:ilvl="0" w:tplc="9AD8F5E8">
      <w:start w:val="1"/>
      <w:numFmt w:val="decimal"/>
      <w:lvlText w:val="%1."/>
      <w:lvlJc w:val="left"/>
      <w:pPr>
        <w:ind w:left="720" w:hanging="360"/>
      </w:pPr>
    </w:lvl>
    <w:lvl w:ilvl="1" w:tplc="68D062FC">
      <w:start w:val="1"/>
      <w:numFmt w:val="lowerLetter"/>
      <w:lvlText w:val="%2)"/>
      <w:lvlJc w:val="left"/>
      <w:pPr>
        <w:ind w:left="1440" w:hanging="360"/>
      </w:pPr>
    </w:lvl>
    <w:lvl w:ilvl="2" w:tplc="19529E2E">
      <w:start w:val="1"/>
      <w:numFmt w:val="lowerRoman"/>
      <w:lvlText w:val="%3."/>
      <w:lvlJc w:val="right"/>
      <w:pPr>
        <w:ind w:left="2160" w:hanging="180"/>
      </w:pPr>
    </w:lvl>
    <w:lvl w:ilvl="3" w:tplc="B1603772">
      <w:start w:val="1"/>
      <w:numFmt w:val="decimal"/>
      <w:lvlText w:val="%4."/>
      <w:lvlJc w:val="left"/>
      <w:pPr>
        <w:ind w:left="2880" w:hanging="360"/>
      </w:pPr>
    </w:lvl>
    <w:lvl w:ilvl="4" w:tplc="62C46C88">
      <w:start w:val="1"/>
      <w:numFmt w:val="lowerLetter"/>
      <w:lvlText w:val="%5."/>
      <w:lvlJc w:val="left"/>
      <w:pPr>
        <w:ind w:left="3600" w:hanging="360"/>
      </w:pPr>
    </w:lvl>
    <w:lvl w:ilvl="5" w:tplc="2C9CA4A8">
      <w:start w:val="1"/>
      <w:numFmt w:val="lowerRoman"/>
      <w:lvlText w:val="%6."/>
      <w:lvlJc w:val="right"/>
      <w:pPr>
        <w:ind w:left="4320" w:hanging="180"/>
      </w:pPr>
    </w:lvl>
    <w:lvl w:ilvl="6" w:tplc="4C34E1B6">
      <w:start w:val="1"/>
      <w:numFmt w:val="decimal"/>
      <w:lvlText w:val="%7."/>
      <w:lvlJc w:val="left"/>
      <w:pPr>
        <w:ind w:left="5040" w:hanging="360"/>
      </w:pPr>
    </w:lvl>
    <w:lvl w:ilvl="7" w:tplc="9F2AA18A">
      <w:start w:val="1"/>
      <w:numFmt w:val="lowerLetter"/>
      <w:lvlText w:val="%8."/>
      <w:lvlJc w:val="left"/>
      <w:pPr>
        <w:ind w:left="5760" w:hanging="360"/>
      </w:pPr>
    </w:lvl>
    <w:lvl w:ilvl="8" w:tplc="CB007E38">
      <w:start w:val="1"/>
      <w:numFmt w:val="lowerRoman"/>
      <w:lvlText w:val="%9."/>
      <w:lvlJc w:val="right"/>
      <w:pPr>
        <w:ind w:left="6480" w:hanging="180"/>
      </w:pPr>
    </w:lvl>
  </w:abstractNum>
  <w:abstractNum w:abstractNumId="20" w15:restartNumberingAfterBreak="0">
    <w:nsid w:val="7A0742D7"/>
    <w:multiLevelType w:val="hybridMultilevel"/>
    <w:tmpl w:val="FA809D3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3863815">
    <w:abstractNumId w:val="11"/>
  </w:num>
  <w:num w:numId="2" w16cid:durableId="426509476">
    <w:abstractNumId w:val="11"/>
  </w:num>
  <w:num w:numId="3" w16cid:durableId="1918588089">
    <w:abstractNumId w:val="6"/>
  </w:num>
  <w:num w:numId="4" w16cid:durableId="385957094">
    <w:abstractNumId w:val="1"/>
  </w:num>
  <w:num w:numId="5" w16cid:durableId="1555191400">
    <w:abstractNumId w:val="8"/>
  </w:num>
  <w:num w:numId="6" w16cid:durableId="985209220">
    <w:abstractNumId w:val="13"/>
  </w:num>
  <w:num w:numId="7" w16cid:durableId="836380315">
    <w:abstractNumId w:val="9"/>
  </w:num>
  <w:num w:numId="8" w16cid:durableId="1382947128">
    <w:abstractNumId w:val="19"/>
  </w:num>
  <w:num w:numId="9" w16cid:durableId="1974828000">
    <w:abstractNumId w:val="17"/>
  </w:num>
  <w:num w:numId="10" w16cid:durableId="543252742">
    <w:abstractNumId w:val="16"/>
  </w:num>
  <w:num w:numId="11" w16cid:durableId="26835388">
    <w:abstractNumId w:val="14"/>
  </w:num>
  <w:num w:numId="12" w16cid:durableId="23794927">
    <w:abstractNumId w:val="7"/>
  </w:num>
  <w:num w:numId="13" w16cid:durableId="1608851517">
    <w:abstractNumId w:val="15"/>
  </w:num>
  <w:num w:numId="14" w16cid:durableId="680815411">
    <w:abstractNumId w:val="0"/>
  </w:num>
  <w:num w:numId="15" w16cid:durableId="2056998893">
    <w:abstractNumId w:val="20"/>
  </w:num>
  <w:num w:numId="16" w16cid:durableId="1437366616">
    <w:abstractNumId w:val="12"/>
  </w:num>
  <w:num w:numId="17" w16cid:durableId="119691987">
    <w:abstractNumId w:val="3"/>
  </w:num>
  <w:num w:numId="18" w16cid:durableId="250742487">
    <w:abstractNumId w:val="5"/>
  </w:num>
  <w:num w:numId="19" w16cid:durableId="1605839278">
    <w:abstractNumId w:val="2"/>
  </w:num>
  <w:num w:numId="20" w16cid:durableId="1872763216">
    <w:abstractNumId w:val="10"/>
  </w:num>
  <w:num w:numId="21" w16cid:durableId="975570478">
    <w:abstractNumId w:val="18"/>
  </w:num>
  <w:num w:numId="22" w16cid:durableId="535587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F3"/>
    <w:rsid w:val="00000B11"/>
    <w:rsid w:val="00001A5B"/>
    <w:rsid w:val="0000380C"/>
    <w:rsid w:val="00007D7C"/>
    <w:rsid w:val="00011ADE"/>
    <w:rsid w:val="00020362"/>
    <w:rsid w:val="00024004"/>
    <w:rsid w:val="00027674"/>
    <w:rsid w:val="00030771"/>
    <w:rsid w:val="00031987"/>
    <w:rsid w:val="00031C05"/>
    <w:rsid w:val="00032D9E"/>
    <w:rsid w:val="00040BDB"/>
    <w:rsid w:val="00043683"/>
    <w:rsid w:val="000458A0"/>
    <w:rsid w:val="000533FF"/>
    <w:rsid w:val="00060F79"/>
    <w:rsid w:val="000669AD"/>
    <w:rsid w:val="00070F38"/>
    <w:rsid w:val="00073C60"/>
    <w:rsid w:val="0008222E"/>
    <w:rsid w:val="00095D79"/>
    <w:rsid w:val="000A11AA"/>
    <w:rsid w:val="000B123C"/>
    <w:rsid w:val="000B2550"/>
    <w:rsid w:val="000B366F"/>
    <w:rsid w:val="000C2B43"/>
    <w:rsid w:val="000C5086"/>
    <w:rsid w:val="000D1BB6"/>
    <w:rsid w:val="000E17A1"/>
    <w:rsid w:val="000E2C41"/>
    <w:rsid w:val="000E2CB1"/>
    <w:rsid w:val="000E5119"/>
    <w:rsid w:val="000E56BD"/>
    <w:rsid w:val="000E7352"/>
    <w:rsid w:val="000E7F3C"/>
    <w:rsid w:val="000F0FD6"/>
    <w:rsid w:val="000F2A2D"/>
    <w:rsid w:val="000F3873"/>
    <w:rsid w:val="000F4044"/>
    <w:rsid w:val="00112A2C"/>
    <w:rsid w:val="00121668"/>
    <w:rsid w:val="0013210B"/>
    <w:rsid w:val="001326E2"/>
    <w:rsid w:val="0013438A"/>
    <w:rsid w:val="001465B7"/>
    <w:rsid w:val="001551C2"/>
    <w:rsid w:val="001604F1"/>
    <w:rsid w:val="00161F59"/>
    <w:rsid w:val="00162C4C"/>
    <w:rsid w:val="00163F42"/>
    <w:rsid w:val="00166215"/>
    <w:rsid w:val="0017023B"/>
    <w:rsid w:val="00171B92"/>
    <w:rsid w:val="001729CF"/>
    <w:rsid w:val="00172A1B"/>
    <w:rsid w:val="00174739"/>
    <w:rsid w:val="00174B10"/>
    <w:rsid w:val="001824B8"/>
    <w:rsid w:val="00192D1E"/>
    <w:rsid w:val="001949B8"/>
    <w:rsid w:val="00194B2C"/>
    <w:rsid w:val="0019602D"/>
    <w:rsid w:val="001A2BA1"/>
    <w:rsid w:val="001B0AEA"/>
    <w:rsid w:val="001B6867"/>
    <w:rsid w:val="001B7DE2"/>
    <w:rsid w:val="001C1EC4"/>
    <w:rsid w:val="001C4587"/>
    <w:rsid w:val="001C4842"/>
    <w:rsid w:val="001D0D87"/>
    <w:rsid w:val="001E4E99"/>
    <w:rsid w:val="001F787B"/>
    <w:rsid w:val="00200A08"/>
    <w:rsid w:val="00201076"/>
    <w:rsid w:val="002100C2"/>
    <w:rsid w:val="00212C5E"/>
    <w:rsid w:val="002161DD"/>
    <w:rsid w:val="00216E56"/>
    <w:rsid w:val="00216F33"/>
    <w:rsid w:val="00221BD2"/>
    <w:rsid w:val="002222F8"/>
    <w:rsid w:val="002227E7"/>
    <w:rsid w:val="00224ECD"/>
    <w:rsid w:val="00231243"/>
    <w:rsid w:val="00233904"/>
    <w:rsid w:val="00236B44"/>
    <w:rsid w:val="00240064"/>
    <w:rsid w:val="00244DD2"/>
    <w:rsid w:val="00247C11"/>
    <w:rsid w:val="0025074C"/>
    <w:rsid w:val="00254333"/>
    <w:rsid w:val="00256468"/>
    <w:rsid w:val="0025726A"/>
    <w:rsid w:val="002577ED"/>
    <w:rsid w:val="00257943"/>
    <w:rsid w:val="002603EB"/>
    <w:rsid w:val="00260675"/>
    <w:rsid w:val="00261B72"/>
    <w:rsid w:val="0026503B"/>
    <w:rsid w:val="00266531"/>
    <w:rsid w:val="002666A1"/>
    <w:rsid w:val="00266EDC"/>
    <w:rsid w:val="00273275"/>
    <w:rsid w:val="0027427D"/>
    <w:rsid w:val="00276C1F"/>
    <w:rsid w:val="00285C42"/>
    <w:rsid w:val="0028633B"/>
    <w:rsid w:val="00292659"/>
    <w:rsid w:val="00293027"/>
    <w:rsid w:val="002941AE"/>
    <w:rsid w:val="002A11E1"/>
    <w:rsid w:val="002B53FC"/>
    <w:rsid w:val="002B5C4C"/>
    <w:rsid w:val="002C005A"/>
    <w:rsid w:val="002C0E1C"/>
    <w:rsid w:val="002C2160"/>
    <w:rsid w:val="002D0738"/>
    <w:rsid w:val="002D0945"/>
    <w:rsid w:val="002D1064"/>
    <w:rsid w:val="002D74C1"/>
    <w:rsid w:val="002E1EB8"/>
    <w:rsid w:val="002E674D"/>
    <w:rsid w:val="002F2148"/>
    <w:rsid w:val="002F2971"/>
    <w:rsid w:val="002F36F5"/>
    <w:rsid w:val="00301C64"/>
    <w:rsid w:val="00302CB1"/>
    <w:rsid w:val="00303A1D"/>
    <w:rsid w:val="00306786"/>
    <w:rsid w:val="00312499"/>
    <w:rsid w:val="0032259E"/>
    <w:rsid w:val="00323C8C"/>
    <w:rsid w:val="00323FEE"/>
    <w:rsid w:val="00324C4F"/>
    <w:rsid w:val="00325198"/>
    <w:rsid w:val="0032607A"/>
    <w:rsid w:val="00330EC0"/>
    <w:rsid w:val="00331610"/>
    <w:rsid w:val="00333138"/>
    <w:rsid w:val="003361CA"/>
    <w:rsid w:val="00337B95"/>
    <w:rsid w:val="00343E45"/>
    <w:rsid w:val="0034678C"/>
    <w:rsid w:val="00346C61"/>
    <w:rsid w:val="0034735B"/>
    <w:rsid w:val="00350CBE"/>
    <w:rsid w:val="00351A09"/>
    <w:rsid w:val="003530FD"/>
    <w:rsid w:val="0035316A"/>
    <w:rsid w:val="00360324"/>
    <w:rsid w:val="003605AA"/>
    <w:rsid w:val="00364F72"/>
    <w:rsid w:val="00371ABD"/>
    <w:rsid w:val="00384DE0"/>
    <w:rsid w:val="003854DC"/>
    <w:rsid w:val="003900D5"/>
    <w:rsid w:val="00397CC9"/>
    <w:rsid w:val="003A582C"/>
    <w:rsid w:val="003A6D54"/>
    <w:rsid w:val="003A762F"/>
    <w:rsid w:val="003B1738"/>
    <w:rsid w:val="003B2D83"/>
    <w:rsid w:val="003B3B90"/>
    <w:rsid w:val="003B3E92"/>
    <w:rsid w:val="003B6A13"/>
    <w:rsid w:val="003C272F"/>
    <w:rsid w:val="003C46A1"/>
    <w:rsid w:val="003C533F"/>
    <w:rsid w:val="003D0CB7"/>
    <w:rsid w:val="003D7630"/>
    <w:rsid w:val="003D7B5E"/>
    <w:rsid w:val="003E331E"/>
    <w:rsid w:val="003F3434"/>
    <w:rsid w:val="003F5E33"/>
    <w:rsid w:val="003F6CA3"/>
    <w:rsid w:val="00400A6E"/>
    <w:rsid w:val="00401B53"/>
    <w:rsid w:val="00412B02"/>
    <w:rsid w:val="00416870"/>
    <w:rsid w:val="0041757D"/>
    <w:rsid w:val="00421F00"/>
    <w:rsid w:val="0042230A"/>
    <w:rsid w:val="00424448"/>
    <w:rsid w:val="00425A0F"/>
    <w:rsid w:val="004276DA"/>
    <w:rsid w:val="00434477"/>
    <w:rsid w:val="00434778"/>
    <w:rsid w:val="004361AE"/>
    <w:rsid w:val="004368AB"/>
    <w:rsid w:val="00437B4A"/>
    <w:rsid w:val="004401DC"/>
    <w:rsid w:val="00442908"/>
    <w:rsid w:val="004438BA"/>
    <w:rsid w:val="00460A65"/>
    <w:rsid w:val="00463F5C"/>
    <w:rsid w:val="00472CE3"/>
    <w:rsid w:val="004779AB"/>
    <w:rsid w:val="0048682A"/>
    <w:rsid w:val="00490C3A"/>
    <w:rsid w:val="00491104"/>
    <w:rsid w:val="00495503"/>
    <w:rsid w:val="00496E5A"/>
    <w:rsid w:val="00497F72"/>
    <w:rsid w:val="004A61BB"/>
    <w:rsid w:val="004A64F1"/>
    <w:rsid w:val="004A65EA"/>
    <w:rsid w:val="004B6E00"/>
    <w:rsid w:val="004C79CD"/>
    <w:rsid w:val="004C7A43"/>
    <w:rsid w:val="004D4B21"/>
    <w:rsid w:val="004E422C"/>
    <w:rsid w:val="004E7033"/>
    <w:rsid w:val="004F0B47"/>
    <w:rsid w:val="004F3BD7"/>
    <w:rsid w:val="0051289A"/>
    <w:rsid w:val="00514C4D"/>
    <w:rsid w:val="005154C2"/>
    <w:rsid w:val="00515FBC"/>
    <w:rsid w:val="005224AB"/>
    <w:rsid w:val="00532686"/>
    <w:rsid w:val="00534588"/>
    <w:rsid w:val="00537297"/>
    <w:rsid w:val="005417EC"/>
    <w:rsid w:val="005457DD"/>
    <w:rsid w:val="00546A36"/>
    <w:rsid w:val="0055043C"/>
    <w:rsid w:val="00554842"/>
    <w:rsid w:val="005624E2"/>
    <w:rsid w:val="00562804"/>
    <w:rsid w:val="00563F61"/>
    <w:rsid w:val="00567AFB"/>
    <w:rsid w:val="0058302A"/>
    <w:rsid w:val="005844DF"/>
    <w:rsid w:val="00584559"/>
    <w:rsid w:val="00595724"/>
    <w:rsid w:val="005A1008"/>
    <w:rsid w:val="005A568F"/>
    <w:rsid w:val="005B70F0"/>
    <w:rsid w:val="005C399F"/>
    <w:rsid w:val="005C41C0"/>
    <w:rsid w:val="005D4EC6"/>
    <w:rsid w:val="005E21FA"/>
    <w:rsid w:val="005E277A"/>
    <w:rsid w:val="005E4F43"/>
    <w:rsid w:val="005F351A"/>
    <w:rsid w:val="005F4ACA"/>
    <w:rsid w:val="005F5081"/>
    <w:rsid w:val="005F74C9"/>
    <w:rsid w:val="00600E65"/>
    <w:rsid w:val="006023BD"/>
    <w:rsid w:val="00605DF3"/>
    <w:rsid w:val="0060746B"/>
    <w:rsid w:val="00622247"/>
    <w:rsid w:val="00623553"/>
    <w:rsid w:val="00623C30"/>
    <w:rsid w:val="00624082"/>
    <w:rsid w:val="00625B6F"/>
    <w:rsid w:val="0062779D"/>
    <w:rsid w:val="006337BA"/>
    <w:rsid w:val="006343E8"/>
    <w:rsid w:val="006347B4"/>
    <w:rsid w:val="00636FED"/>
    <w:rsid w:val="0063739E"/>
    <w:rsid w:val="00637D08"/>
    <w:rsid w:val="00646C90"/>
    <w:rsid w:val="006476C8"/>
    <w:rsid w:val="00651A96"/>
    <w:rsid w:val="006533A3"/>
    <w:rsid w:val="00654B63"/>
    <w:rsid w:val="00654F9B"/>
    <w:rsid w:val="00657124"/>
    <w:rsid w:val="00657573"/>
    <w:rsid w:val="00671CD0"/>
    <w:rsid w:val="006746E4"/>
    <w:rsid w:val="006752A0"/>
    <w:rsid w:val="00676623"/>
    <w:rsid w:val="00676F60"/>
    <w:rsid w:val="00682689"/>
    <w:rsid w:val="0068289B"/>
    <w:rsid w:val="0069057A"/>
    <w:rsid w:val="00694421"/>
    <w:rsid w:val="006A0652"/>
    <w:rsid w:val="006A5489"/>
    <w:rsid w:val="006B3112"/>
    <w:rsid w:val="006B4D0D"/>
    <w:rsid w:val="006B5C88"/>
    <w:rsid w:val="006B6540"/>
    <w:rsid w:val="006C3B0C"/>
    <w:rsid w:val="006C6573"/>
    <w:rsid w:val="006D1F6F"/>
    <w:rsid w:val="006D2975"/>
    <w:rsid w:val="006D325B"/>
    <w:rsid w:val="006D63C1"/>
    <w:rsid w:val="006D750E"/>
    <w:rsid w:val="006E1D0C"/>
    <w:rsid w:val="006F756C"/>
    <w:rsid w:val="00700F99"/>
    <w:rsid w:val="0070488E"/>
    <w:rsid w:val="00706EE3"/>
    <w:rsid w:val="00710644"/>
    <w:rsid w:val="007177A0"/>
    <w:rsid w:val="007228AF"/>
    <w:rsid w:val="007265A7"/>
    <w:rsid w:val="00732E71"/>
    <w:rsid w:val="0073388B"/>
    <w:rsid w:val="0073631A"/>
    <w:rsid w:val="00741F58"/>
    <w:rsid w:val="00742968"/>
    <w:rsid w:val="00742AD7"/>
    <w:rsid w:val="007505B1"/>
    <w:rsid w:val="007518E7"/>
    <w:rsid w:val="00757533"/>
    <w:rsid w:val="007576D9"/>
    <w:rsid w:val="00764BAA"/>
    <w:rsid w:val="007669B5"/>
    <w:rsid w:val="00767CA9"/>
    <w:rsid w:val="0077155E"/>
    <w:rsid w:val="0077427A"/>
    <w:rsid w:val="00774509"/>
    <w:rsid w:val="00775422"/>
    <w:rsid w:val="00777F89"/>
    <w:rsid w:val="00783A65"/>
    <w:rsid w:val="0078447C"/>
    <w:rsid w:val="00784B5C"/>
    <w:rsid w:val="00786C8F"/>
    <w:rsid w:val="00796DF9"/>
    <w:rsid w:val="007B1DB2"/>
    <w:rsid w:val="007B2B60"/>
    <w:rsid w:val="007B32F7"/>
    <w:rsid w:val="007C7C0C"/>
    <w:rsid w:val="007D050B"/>
    <w:rsid w:val="007D0F1E"/>
    <w:rsid w:val="007D104F"/>
    <w:rsid w:val="007D11F0"/>
    <w:rsid w:val="007D4691"/>
    <w:rsid w:val="007D4E1C"/>
    <w:rsid w:val="007D7406"/>
    <w:rsid w:val="007E1571"/>
    <w:rsid w:val="007F7EC5"/>
    <w:rsid w:val="008005DF"/>
    <w:rsid w:val="00800A0A"/>
    <w:rsid w:val="0080122D"/>
    <w:rsid w:val="00813EF3"/>
    <w:rsid w:val="00820940"/>
    <w:rsid w:val="00825506"/>
    <w:rsid w:val="00833B93"/>
    <w:rsid w:val="0083674A"/>
    <w:rsid w:val="00842542"/>
    <w:rsid w:val="00842760"/>
    <w:rsid w:val="0084623D"/>
    <w:rsid w:val="008463D3"/>
    <w:rsid w:val="00852373"/>
    <w:rsid w:val="008530EB"/>
    <w:rsid w:val="00854EF4"/>
    <w:rsid w:val="00856FC5"/>
    <w:rsid w:val="00861CB8"/>
    <w:rsid w:val="0086567E"/>
    <w:rsid w:val="00866635"/>
    <w:rsid w:val="00870AAA"/>
    <w:rsid w:val="00873123"/>
    <w:rsid w:val="00873A3B"/>
    <w:rsid w:val="00874592"/>
    <w:rsid w:val="0087543C"/>
    <w:rsid w:val="0087643D"/>
    <w:rsid w:val="0088096B"/>
    <w:rsid w:val="008940D1"/>
    <w:rsid w:val="00894757"/>
    <w:rsid w:val="0089496B"/>
    <w:rsid w:val="00897A90"/>
    <w:rsid w:val="008A2B49"/>
    <w:rsid w:val="008A475A"/>
    <w:rsid w:val="008B51F6"/>
    <w:rsid w:val="008B717D"/>
    <w:rsid w:val="008C3CCE"/>
    <w:rsid w:val="008C4013"/>
    <w:rsid w:val="008D0106"/>
    <w:rsid w:val="008D2B6A"/>
    <w:rsid w:val="008D4AE1"/>
    <w:rsid w:val="008E67BE"/>
    <w:rsid w:val="008E7629"/>
    <w:rsid w:val="008F0C4C"/>
    <w:rsid w:val="008F14DD"/>
    <w:rsid w:val="008F6314"/>
    <w:rsid w:val="008F69D4"/>
    <w:rsid w:val="0090046B"/>
    <w:rsid w:val="009021D3"/>
    <w:rsid w:val="00903C0A"/>
    <w:rsid w:val="00905567"/>
    <w:rsid w:val="009079DC"/>
    <w:rsid w:val="00911129"/>
    <w:rsid w:val="009111FD"/>
    <w:rsid w:val="00911420"/>
    <w:rsid w:val="00912219"/>
    <w:rsid w:val="0091593B"/>
    <w:rsid w:val="00920D07"/>
    <w:rsid w:val="00922A3D"/>
    <w:rsid w:val="00925900"/>
    <w:rsid w:val="00927B5C"/>
    <w:rsid w:val="0094098B"/>
    <w:rsid w:val="009411D9"/>
    <w:rsid w:val="00941B9A"/>
    <w:rsid w:val="00943C09"/>
    <w:rsid w:val="00944ED4"/>
    <w:rsid w:val="00945422"/>
    <w:rsid w:val="00946CB2"/>
    <w:rsid w:val="00951BD8"/>
    <w:rsid w:val="00952149"/>
    <w:rsid w:val="00953E96"/>
    <w:rsid w:val="009558B0"/>
    <w:rsid w:val="0096114B"/>
    <w:rsid w:val="009633FC"/>
    <w:rsid w:val="00964A18"/>
    <w:rsid w:val="00970C35"/>
    <w:rsid w:val="0097277D"/>
    <w:rsid w:val="00974804"/>
    <w:rsid w:val="00977779"/>
    <w:rsid w:val="00981D45"/>
    <w:rsid w:val="00983877"/>
    <w:rsid w:val="00984E11"/>
    <w:rsid w:val="00994E2C"/>
    <w:rsid w:val="009A2178"/>
    <w:rsid w:val="009A5483"/>
    <w:rsid w:val="009A71D9"/>
    <w:rsid w:val="009B3040"/>
    <w:rsid w:val="009B5F36"/>
    <w:rsid w:val="009B6219"/>
    <w:rsid w:val="009C0A23"/>
    <w:rsid w:val="009C3C8A"/>
    <w:rsid w:val="009C41AF"/>
    <w:rsid w:val="009C7EB0"/>
    <w:rsid w:val="009D0F63"/>
    <w:rsid w:val="009D7766"/>
    <w:rsid w:val="009E264F"/>
    <w:rsid w:val="009E2ABB"/>
    <w:rsid w:val="009E2BA6"/>
    <w:rsid w:val="009E34E6"/>
    <w:rsid w:val="009E6545"/>
    <w:rsid w:val="009E6A0C"/>
    <w:rsid w:val="009F0BB5"/>
    <w:rsid w:val="00A00D04"/>
    <w:rsid w:val="00A01700"/>
    <w:rsid w:val="00A07452"/>
    <w:rsid w:val="00A11872"/>
    <w:rsid w:val="00A17ED4"/>
    <w:rsid w:val="00A2191B"/>
    <w:rsid w:val="00A21DBF"/>
    <w:rsid w:val="00A24D27"/>
    <w:rsid w:val="00A27625"/>
    <w:rsid w:val="00A27DE8"/>
    <w:rsid w:val="00A30394"/>
    <w:rsid w:val="00A31C29"/>
    <w:rsid w:val="00A44FDA"/>
    <w:rsid w:val="00A45218"/>
    <w:rsid w:val="00A53390"/>
    <w:rsid w:val="00A56EC0"/>
    <w:rsid w:val="00A62519"/>
    <w:rsid w:val="00A64963"/>
    <w:rsid w:val="00A659F0"/>
    <w:rsid w:val="00A6665A"/>
    <w:rsid w:val="00A705ED"/>
    <w:rsid w:val="00A7432A"/>
    <w:rsid w:val="00A7758D"/>
    <w:rsid w:val="00A81137"/>
    <w:rsid w:val="00A825D4"/>
    <w:rsid w:val="00A972AC"/>
    <w:rsid w:val="00AA19BD"/>
    <w:rsid w:val="00AA2993"/>
    <w:rsid w:val="00AA5874"/>
    <w:rsid w:val="00AB2443"/>
    <w:rsid w:val="00AB2627"/>
    <w:rsid w:val="00AC4897"/>
    <w:rsid w:val="00AC6C95"/>
    <w:rsid w:val="00AC7E2B"/>
    <w:rsid w:val="00AD331A"/>
    <w:rsid w:val="00AD75BA"/>
    <w:rsid w:val="00AE02DA"/>
    <w:rsid w:val="00AE0348"/>
    <w:rsid w:val="00AE6FAC"/>
    <w:rsid w:val="00AF677F"/>
    <w:rsid w:val="00B008AC"/>
    <w:rsid w:val="00B0446F"/>
    <w:rsid w:val="00B0550E"/>
    <w:rsid w:val="00B061A0"/>
    <w:rsid w:val="00B120F5"/>
    <w:rsid w:val="00B23344"/>
    <w:rsid w:val="00B25AC8"/>
    <w:rsid w:val="00B33A64"/>
    <w:rsid w:val="00B33DE3"/>
    <w:rsid w:val="00B36A18"/>
    <w:rsid w:val="00B44C57"/>
    <w:rsid w:val="00B46157"/>
    <w:rsid w:val="00B503F8"/>
    <w:rsid w:val="00B51A58"/>
    <w:rsid w:val="00B52145"/>
    <w:rsid w:val="00B565C1"/>
    <w:rsid w:val="00B60544"/>
    <w:rsid w:val="00B63628"/>
    <w:rsid w:val="00B7002E"/>
    <w:rsid w:val="00B70114"/>
    <w:rsid w:val="00B71B25"/>
    <w:rsid w:val="00B71BE0"/>
    <w:rsid w:val="00B74D07"/>
    <w:rsid w:val="00B8043E"/>
    <w:rsid w:val="00B87240"/>
    <w:rsid w:val="00B9053A"/>
    <w:rsid w:val="00BA534A"/>
    <w:rsid w:val="00BA738A"/>
    <w:rsid w:val="00BB0E10"/>
    <w:rsid w:val="00BB19AC"/>
    <w:rsid w:val="00BB3690"/>
    <w:rsid w:val="00BB42FA"/>
    <w:rsid w:val="00BC147E"/>
    <w:rsid w:val="00BC17F0"/>
    <w:rsid w:val="00BC407B"/>
    <w:rsid w:val="00BC47E5"/>
    <w:rsid w:val="00BC57B2"/>
    <w:rsid w:val="00BC7F7C"/>
    <w:rsid w:val="00BD0C8E"/>
    <w:rsid w:val="00BD1630"/>
    <w:rsid w:val="00BD3A50"/>
    <w:rsid w:val="00BD7779"/>
    <w:rsid w:val="00BE3E4B"/>
    <w:rsid w:val="00BF03F2"/>
    <w:rsid w:val="00BF0597"/>
    <w:rsid w:val="00C00008"/>
    <w:rsid w:val="00C0056F"/>
    <w:rsid w:val="00C11DD7"/>
    <w:rsid w:val="00C12EE0"/>
    <w:rsid w:val="00C13773"/>
    <w:rsid w:val="00C14C77"/>
    <w:rsid w:val="00C15E07"/>
    <w:rsid w:val="00C165B0"/>
    <w:rsid w:val="00C209C3"/>
    <w:rsid w:val="00C23609"/>
    <w:rsid w:val="00C36B8F"/>
    <w:rsid w:val="00C41C5D"/>
    <w:rsid w:val="00C429DD"/>
    <w:rsid w:val="00C6216B"/>
    <w:rsid w:val="00C6287B"/>
    <w:rsid w:val="00C62B80"/>
    <w:rsid w:val="00C62FE6"/>
    <w:rsid w:val="00C66175"/>
    <w:rsid w:val="00C67355"/>
    <w:rsid w:val="00C71AE1"/>
    <w:rsid w:val="00C73275"/>
    <w:rsid w:val="00C73A0F"/>
    <w:rsid w:val="00C75854"/>
    <w:rsid w:val="00C764FC"/>
    <w:rsid w:val="00C810FA"/>
    <w:rsid w:val="00C85C4A"/>
    <w:rsid w:val="00C87339"/>
    <w:rsid w:val="00C93669"/>
    <w:rsid w:val="00C964F7"/>
    <w:rsid w:val="00CA6AE6"/>
    <w:rsid w:val="00CB7734"/>
    <w:rsid w:val="00CC1A67"/>
    <w:rsid w:val="00CC4391"/>
    <w:rsid w:val="00CC43EA"/>
    <w:rsid w:val="00CC4F9F"/>
    <w:rsid w:val="00CD2D7A"/>
    <w:rsid w:val="00CD395F"/>
    <w:rsid w:val="00CD75AB"/>
    <w:rsid w:val="00CE4934"/>
    <w:rsid w:val="00CE5CDA"/>
    <w:rsid w:val="00CF082E"/>
    <w:rsid w:val="00CF465D"/>
    <w:rsid w:val="00CF47F1"/>
    <w:rsid w:val="00CF6A04"/>
    <w:rsid w:val="00CF6E71"/>
    <w:rsid w:val="00CFB260"/>
    <w:rsid w:val="00D02556"/>
    <w:rsid w:val="00D03135"/>
    <w:rsid w:val="00D11069"/>
    <w:rsid w:val="00D143C9"/>
    <w:rsid w:val="00D21805"/>
    <w:rsid w:val="00D25780"/>
    <w:rsid w:val="00D3094A"/>
    <w:rsid w:val="00D408DB"/>
    <w:rsid w:val="00D40E68"/>
    <w:rsid w:val="00D43C1A"/>
    <w:rsid w:val="00D46B1F"/>
    <w:rsid w:val="00D52858"/>
    <w:rsid w:val="00D52C6C"/>
    <w:rsid w:val="00D53D1E"/>
    <w:rsid w:val="00D54BDE"/>
    <w:rsid w:val="00D55796"/>
    <w:rsid w:val="00D55C61"/>
    <w:rsid w:val="00D55F49"/>
    <w:rsid w:val="00D56758"/>
    <w:rsid w:val="00D632FC"/>
    <w:rsid w:val="00D63456"/>
    <w:rsid w:val="00D66351"/>
    <w:rsid w:val="00D75B1B"/>
    <w:rsid w:val="00D76142"/>
    <w:rsid w:val="00D80970"/>
    <w:rsid w:val="00D82CC1"/>
    <w:rsid w:val="00D92A9C"/>
    <w:rsid w:val="00D95013"/>
    <w:rsid w:val="00D9646A"/>
    <w:rsid w:val="00D96B9B"/>
    <w:rsid w:val="00DA29FB"/>
    <w:rsid w:val="00DA5CD6"/>
    <w:rsid w:val="00DB6E91"/>
    <w:rsid w:val="00DC115B"/>
    <w:rsid w:val="00DC391E"/>
    <w:rsid w:val="00DC433A"/>
    <w:rsid w:val="00DC4EE6"/>
    <w:rsid w:val="00DD564B"/>
    <w:rsid w:val="00DE1552"/>
    <w:rsid w:val="00DE6C82"/>
    <w:rsid w:val="00DF0FE4"/>
    <w:rsid w:val="00DF169B"/>
    <w:rsid w:val="00DF27A6"/>
    <w:rsid w:val="00DF4B75"/>
    <w:rsid w:val="00DF770C"/>
    <w:rsid w:val="00E05C4E"/>
    <w:rsid w:val="00E07B4F"/>
    <w:rsid w:val="00E10999"/>
    <w:rsid w:val="00E20BBC"/>
    <w:rsid w:val="00E2238A"/>
    <w:rsid w:val="00E33A94"/>
    <w:rsid w:val="00E37159"/>
    <w:rsid w:val="00E41DD9"/>
    <w:rsid w:val="00E423E3"/>
    <w:rsid w:val="00E5027A"/>
    <w:rsid w:val="00E53320"/>
    <w:rsid w:val="00E56F55"/>
    <w:rsid w:val="00E6676E"/>
    <w:rsid w:val="00E67589"/>
    <w:rsid w:val="00E70817"/>
    <w:rsid w:val="00E72ED7"/>
    <w:rsid w:val="00E859D5"/>
    <w:rsid w:val="00E86EC7"/>
    <w:rsid w:val="00E86F05"/>
    <w:rsid w:val="00E87189"/>
    <w:rsid w:val="00E91ED1"/>
    <w:rsid w:val="00EA1527"/>
    <w:rsid w:val="00EA7481"/>
    <w:rsid w:val="00EB0E29"/>
    <w:rsid w:val="00EB3943"/>
    <w:rsid w:val="00EB425A"/>
    <w:rsid w:val="00EB59DF"/>
    <w:rsid w:val="00EB7D61"/>
    <w:rsid w:val="00ED2287"/>
    <w:rsid w:val="00ED3C1A"/>
    <w:rsid w:val="00EE2258"/>
    <w:rsid w:val="00EE36AD"/>
    <w:rsid w:val="00EE384C"/>
    <w:rsid w:val="00EE4296"/>
    <w:rsid w:val="00EE6001"/>
    <w:rsid w:val="00EE7818"/>
    <w:rsid w:val="00EF0C46"/>
    <w:rsid w:val="00EF2897"/>
    <w:rsid w:val="00EF58E3"/>
    <w:rsid w:val="00EF6E13"/>
    <w:rsid w:val="00F03969"/>
    <w:rsid w:val="00F10976"/>
    <w:rsid w:val="00F11A22"/>
    <w:rsid w:val="00F12840"/>
    <w:rsid w:val="00F130A1"/>
    <w:rsid w:val="00F13336"/>
    <w:rsid w:val="00F1601F"/>
    <w:rsid w:val="00F179D8"/>
    <w:rsid w:val="00F2188E"/>
    <w:rsid w:val="00F21D2D"/>
    <w:rsid w:val="00F22AF6"/>
    <w:rsid w:val="00F23058"/>
    <w:rsid w:val="00F23E48"/>
    <w:rsid w:val="00F30114"/>
    <w:rsid w:val="00F32513"/>
    <w:rsid w:val="00F379B1"/>
    <w:rsid w:val="00F4118D"/>
    <w:rsid w:val="00F50528"/>
    <w:rsid w:val="00F51BB3"/>
    <w:rsid w:val="00F5386E"/>
    <w:rsid w:val="00F54077"/>
    <w:rsid w:val="00F541C7"/>
    <w:rsid w:val="00F55900"/>
    <w:rsid w:val="00F56D2C"/>
    <w:rsid w:val="00F61F5C"/>
    <w:rsid w:val="00F62803"/>
    <w:rsid w:val="00F6305F"/>
    <w:rsid w:val="00F63331"/>
    <w:rsid w:val="00F64DE6"/>
    <w:rsid w:val="00F66AC0"/>
    <w:rsid w:val="00F66BA8"/>
    <w:rsid w:val="00F73612"/>
    <w:rsid w:val="00F73B51"/>
    <w:rsid w:val="00F82E18"/>
    <w:rsid w:val="00F83726"/>
    <w:rsid w:val="00F83A12"/>
    <w:rsid w:val="00F915E5"/>
    <w:rsid w:val="00F95EFD"/>
    <w:rsid w:val="00F96090"/>
    <w:rsid w:val="00F96160"/>
    <w:rsid w:val="00F965AE"/>
    <w:rsid w:val="00FA176B"/>
    <w:rsid w:val="00FA542B"/>
    <w:rsid w:val="00FA6993"/>
    <w:rsid w:val="00FB0E31"/>
    <w:rsid w:val="00FB49DE"/>
    <w:rsid w:val="00FB5476"/>
    <w:rsid w:val="00FC1BEB"/>
    <w:rsid w:val="00FC1CBE"/>
    <w:rsid w:val="00FC33CD"/>
    <w:rsid w:val="00FD47A1"/>
    <w:rsid w:val="00FD4E84"/>
    <w:rsid w:val="00FE14BF"/>
    <w:rsid w:val="00FE227F"/>
    <w:rsid w:val="00FE2825"/>
    <w:rsid w:val="00FE41F2"/>
    <w:rsid w:val="00FE53E6"/>
    <w:rsid w:val="00FE778E"/>
    <w:rsid w:val="00FF0542"/>
    <w:rsid w:val="00FF2800"/>
    <w:rsid w:val="014149ED"/>
    <w:rsid w:val="017DA9CE"/>
    <w:rsid w:val="021C3F65"/>
    <w:rsid w:val="0287AE06"/>
    <w:rsid w:val="02F8A079"/>
    <w:rsid w:val="04125745"/>
    <w:rsid w:val="04E9089A"/>
    <w:rsid w:val="05D00A8B"/>
    <w:rsid w:val="0605942E"/>
    <w:rsid w:val="0638BC7E"/>
    <w:rsid w:val="0655FDCF"/>
    <w:rsid w:val="0671736F"/>
    <w:rsid w:val="0702570D"/>
    <w:rsid w:val="0762AB6E"/>
    <w:rsid w:val="0787F858"/>
    <w:rsid w:val="087EE4D1"/>
    <w:rsid w:val="089E512A"/>
    <w:rsid w:val="08E6ECBB"/>
    <w:rsid w:val="09250BF3"/>
    <w:rsid w:val="099982DF"/>
    <w:rsid w:val="09CA4203"/>
    <w:rsid w:val="09FE59E9"/>
    <w:rsid w:val="09FE746B"/>
    <w:rsid w:val="0A081572"/>
    <w:rsid w:val="0A3C2026"/>
    <w:rsid w:val="0A501D3E"/>
    <w:rsid w:val="0A7600AA"/>
    <w:rsid w:val="0AA833FF"/>
    <w:rsid w:val="0B2555CD"/>
    <w:rsid w:val="0B799A32"/>
    <w:rsid w:val="0C0F5550"/>
    <w:rsid w:val="0C60472D"/>
    <w:rsid w:val="0D34FE43"/>
    <w:rsid w:val="0D3CA8A1"/>
    <w:rsid w:val="0D4F953A"/>
    <w:rsid w:val="0D91D1C0"/>
    <w:rsid w:val="0DAB0762"/>
    <w:rsid w:val="0E42FECE"/>
    <w:rsid w:val="0E8FFDF2"/>
    <w:rsid w:val="0F031998"/>
    <w:rsid w:val="11025609"/>
    <w:rsid w:val="11ABE421"/>
    <w:rsid w:val="12059474"/>
    <w:rsid w:val="1229A1DA"/>
    <w:rsid w:val="124F732E"/>
    <w:rsid w:val="1296C565"/>
    <w:rsid w:val="12B3085A"/>
    <w:rsid w:val="1324CF59"/>
    <w:rsid w:val="13AEC063"/>
    <w:rsid w:val="13B95A65"/>
    <w:rsid w:val="13E6DC9B"/>
    <w:rsid w:val="13EC36BA"/>
    <w:rsid w:val="14AAA8E4"/>
    <w:rsid w:val="154A0DE0"/>
    <w:rsid w:val="1579C9DC"/>
    <w:rsid w:val="15897A9E"/>
    <w:rsid w:val="15949B87"/>
    <w:rsid w:val="15EA620B"/>
    <w:rsid w:val="15F81F4D"/>
    <w:rsid w:val="160E1774"/>
    <w:rsid w:val="1620AFF7"/>
    <w:rsid w:val="16CD634C"/>
    <w:rsid w:val="16D7A630"/>
    <w:rsid w:val="175693CE"/>
    <w:rsid w:val="175D0534"/>
    <w:rsid w:val="17F63B0A"/>
    <w:rsid w:val="17F7DF5C"/>
    <w:rsid w:val="19594B43"/>
    <w:rsid w:val="1A36B2A8"/>
    <w:rsid w:val="1A3E913C"/>
    <w:rsid w:val="1A82E926"/>
    <w:rsid w:val="1B5EDD70"/>
    <w:rsid w:val="1B9D1D8E"/>
    <w:rsid w:val="1C07067F"/>
    <w:rsid w:val="1C0EFC9D"/>
    <w:rsid w:val="1C5252FA"/>
    <w:rsid w:val="1C6D09D3"/>
    <w:rsid w:val="1CF7C650"/>
    <w:rsid w:val="1D4339C1"/>
    <w:rsid w:val="1D6D0417"/>
    <w:rsid w:val="1DFCE665"/>
    <w:rsid w:val="1E449C4E"/>
    <w:rsid w:val="1E714509"/>
    <w:rsid w:val="1ED35084"/>
    <w:rsid w:val="1F648C27"/>
    <w:rsid w:val="20392E71"/>
    <w:rsid w:val="204BF654"/>
    <w:rsid w:val="22AEB884"/>
    <w:rsid w:val="2338954D"/>
    <w:rsid w:val="235A7016"/>
    <w:rsid w:val="236A0F01"/>
    <w:rsid w:val="23EE3C1A"/>
    <w:rsid w:val="241BA51E"/>
    <w:rsid w:val="2453292C"/>
    <w:rsid w:val="24A1A75C"/>
    <w:rsid w:val="250E2D51"/>
    <w:rsid w:val="2578F3BC"/>
    <w:rsid w:val="259F71FC"/>
    <w:rsid w:val="25F80DEC"/>
    <w:rsid w:val="264EA754"/>
    <w:rsid w:val="26510F2B"/>
    <w:rsid w:val="26AB9902"/>
    <w:rsid w:val="26B60ABB"/>
    <w:rsid w:val="27268B36"/>
    <w:rsid w:val="275B0DEF"/>
    <w:rsid w:val="280042A4"/>
    <w:rsid w:val="28070601"/>
    <w:rsid w:val="28A817BE"/>
    <w:rsid w:val="28DD66CB"/>
    <w:rsid w:val="28E4CF3D"/>
    <w:rsid w:val="296050B8"/>
    <w:rsid w:val="29D70EDA"/>
    <w:rsid w:val="29ECE198"/>
    <w:rsid w:val="2A3C1385"/>
    <w:rsid w:val="2A996EB0"/>
    <w:rsid w:val="2B433642"/>
    <w:rsid w:val="2B72CD80"/>
    <w:rsid w:val="2B7CFC6C"/>
    <w:rsid w:val="2BF3672B"/>
    <w:rsid w:val="2C45CC77"/>
    <w:rsid w:val="2D0414BE"/>
    <w:rsid w:val="2D2134B7"/>
    <w:rsid w:val="2D60A42A"/>
    <w:rsid w:val="2EB4E066"/>
    <w:rsid w:val="2F6193E4"/>
    <w:rsid w:val="2F6BD1D5"/>
    <w:rsid w:val="2F9BA4EF"/>
    <w:rsid w:val="2FE28FD1"/>
    <w:rsid w:val="308C5EC0"/>
    <w:rsid w:val="3127630C"/>
    <w:rsid w:val="3151687F"/>
    <w:rsid w:val="31DB873C"/>
    <w:rsid w:val="3241C611"/>
    <w:rsid w:val="3338FD37"/>
    <w:rsid w:val="33663A40"/>
    <w:rsid w:val="33B5302C"/>
    <w:rsid w:val="348110DC"/>
    <w:rsid w:val="348A0D62"/>
    <w:rsid w:val="34DCC79B"/>
    <w:rsid w:val="352FF494"/>
    <w:rsid w:val="35BC4C44"/>
    <w:rsid w:val="35E85722"/>
    <w:rsid w:val="35FEFA49"/>
    <w:rsid w:val="361B7432"/>
    <w:rsid w:val="36664B18"/>
    <w:rsid w:val="369B408E"/>
    <w:rsid w:val="36A5B8E9"/>
    <w:rsid w:val="375A8DA6"/>
    <w:rsid w:val="37A8C5A6"/>
    <w:rsid w:val="37EE2194"/>
    <w:rsid w:val="380E02A5"/>
    <w:rsid w:val="390DA358"/>
    <w:rsid w:val="396FD769"/>
    <w:rsid w:val="3ABB2C57"/>
    <w:rsid w:val="3AF30624"/>
    <w:rsid w:val="3AFD1106"/>
    <w:rsid w:val="3BA1C545"/>
    <w:rsid w:val="3C32D312"/>
    <w:rsid w:val="3C99F517"/>
    <w:rsid w:val="3D04EBC6"/>
    <w:rsid w:val="3D2F6346"/>
    <w:rsid w:val="3D8F973C"/>
    <w:rsid w:val="3DCA6FF9"/>
    <w:rsid w:val="3DF0D6FB"/>
    <w:rsid w:val="3E02A2B1"/>
    <w:rsid w:val="3ECDE39C"/>
    <w:rsid w:val="3ED002A5"/>
    <w:rsid w:val="3F6848C0"/>
    <w:rsid w:val="3FA8DE50"/>
    <w:rsid w:val="3FCFF1A3"/>
    <w:rsid w:val="4018F98B"/>
    <w:rsid w:val="405DDFD7"/>
    <w:rsid w:val="40B355BB"/>
    <w:rsid w:val="40B8771E"/>
    <w:rsid w:val="40C21195"/>
    <w:rsid w:val="40C678F7"/>
    <w:rsid w:val="40CA9949"/>
    <w:rsid w:val="40D8AEFF"/>
    <w:rsid w:val="428EC597"/>
    <w:rsid w:val="429BA9A3"/>
    <w:rsid w:val="42A1AF4D"/>
    <w:rsid w:val="42F9BE3E"/>
    <w:rsid w:val="433EFEB4"/>
    <w:rsid w:val="435F3DFE"/>
    <w:rsid w:val="4403473C"/>
    <w:rsid w:val="45130F04"/>
    <w:rsid w:val="462E95D4"/>
    <w:rsid w:val="46DBB8F0"/>
    <w:rsid w:val="4752BA8B"/>
    <w:rsid w:val="4754D490"/>
    <w:rsid w:val="475AB64E"/>
    <w:rsid w:val="47FBF5DB"/>
    <w:rsid w:val="485ABC16"/>
    <w:rsid w:val="48730013"/>
    <w:rsid w:val="49174419"/>
    <w:rsid w:val="49F0A4D0"/>
    <w:rsid w:val="4A03D474"/>
    <w:rsid w:val="4A82BCEF"/>
    <w:rsid w:val="4AADEBE3"/>
    <w:rsid w:val="4B96A3C2"/>
    <w:rsid w:val="4BA07113"/>
    <w:rsid w:val="4BED37D3"/>
    <w:rsid w:val="4C2148D6"/>
    <w:rsid w:val="4C24AF3A"/>
    <w:rsid w:val="4C87F427"/>
    <w:rsid w:val="4D8767CE"/>
    <w:rsid w:val="4E475EE8"/>
    <w:rsid w:val="4F0FEBB2"/>
    <w:rsid w:val="4F2BF8C2"/>
    <w:rsid w:val="4FC4BF8A"/>
    <w:rsid w:val="502E6FAC"/>
    <w:rsid w:val="5039AB33"/>
    <w:rsid w:val="50CDF457"/>
    <w:rsid w:val="51E57DAB"/>
    <w:rsid w:val="5221EF36"/>
    <w:rsid w:val="5256801F"/>
    <w:rsid w:val="5274A94B"/>
    <w:rsid w:val="529BC5D9"/>
    <w:rsid w:val="52A0B07F"/>
    <w:rsid w:val="52FCA1C5"/>
    <w:rsid w:val="5336006E"/>
    <w:rsid w:val="5355B727"/>
    <w:rsid w:val="536E3159"/>
    <w:rsid w:val="537216C3"/>
    <w:rsid w:val="5486E79F"/>
    <w:rsid w:val="549FB137"/>
    <w:rsid w:val="55624431"/>
    <w:rsid w:val="5573AC19"/>
    <w:rsid w:val="55EF9BA4"/>
    <w:rsid w:val="56087984"/>
    <w:rsid w:val="566C0B44"/>
    <w:rsid w:val="569048D3"/>
    <w:rsid w:val="56ACBF2A"/>
    <w:rsid w:val="56E76DE0"/>
    <w:rsid w:val="574CCFBF"/>
    <w:rsid w:val="57A00AC2"/>
    <w:rsid w:val="57D6E6AD"/>
    <w:rsid w:val="57DB1077"/>
    <w:rsid w:val="5855FA33"/>
    <w:rsid w:val="58C27108"/>
    <w:rsid w:val="59E91AB0"/>
    <w:rsid w:val="5B0C802E"/>
    <w:rsid w:val="5BE74844"/>
    <w:rsid w:val="5BE9C18A"/>
    <w:rsid w:val="5C8713C0"/>
    <w:rsid w:val="5C92597A"/>
    <w:rsid w:val="5D78C36A"/>
    <w:rsid w:val="5D7F9853"/>
    <w:rsid w:val="5DF5D362"/>
    <w:rsid w:val="5E49DEFD"/>
    <w:rsid w:val="5E508404"/>
    <w:rsid w:val="5E5D2982"/>
    <w:rsid w:val="5EACB832"/>
    <w:rsid w:val="5EEF2ABB"/>
    <w:rsid w:val="5F0215A6"/>
    <w:rsid w:val="5F301EB4"/>
    <w:rsid w:val="5F3ACDC5"/>
    <w:rsid w:val="5F3E1318"/>
    <w:rsid w:val="5F93E628"/>
    <w:rsid w:val="5FAFB82C"/>
    <w:rsid w:val="5FE1F892"/>
    <w:rsid w:val="607E444A"/>
    <w:rsid w:val="60D70B98"/>
    <w:rsid w:val="60F5F71E"/>
    <w:rsid w:val="61D9611F"/>
    <w:rsid w:val="61EF3881"/>
    <w:rsid w:val="62576AF4"/>
    <w:rsid w:val="6315AF28"/>
    <w:rsid w:val="63564794"/>
    <w:rsid w:val="644A57A2"/>
    <w:rsid w:val="649E204E"/>
    <w:rsid w:val="64AEAE43"/>
    <w:rsid w:val="6564E54C"/>
    <w:rsid w:val="65DC8AE7"/>
    <w:rsid w:val="6621FD83"/>
    <w:rsid w:val="66FA0ECB"/>
    <w:rsid w:val="674EDF66"/>
    <w:rsid w:val="67BFF665"/>
    <w:rsid w:val="69936F36"/>
    <w:rsid w:val="69EB79DC"/>
    <w:rsid w:val="6A78B37E"/>
    <w:rsid w:val="6BABE7AD"/>
    <w:rsid w:val="6CE7E498"/>
    <w:rsid w:val="6D011EBF"/>
    <w:rsid w:val="6D737B7F"/>
    <w:rsid w:val="6DB7FFCB"/>
    <w:rsid w:val="6E2774A6"/>
    <w:rsid w:val="6E3CA6B6"/>
    <w:rsid w:val="6E6BAE66"/>
    <w:rsid w:val="6F0186BB"/>
    <w:rsid w:val="6F1FAC28"/>
    <w:rsid w:val="6F641570"/>
    <w:rsid w:val="705D218D"/>
    <w:rsid w:val="708ADBF7"/>
    <w:rsid w:val="70D912A4"/>
    <w:rsid w:val="710DAAF0"/>
    <w:rsid w:val="714A2E4E"/>
    <w:rsid w:val="72090711"/>
    <w:rsid w:val="7248C094"/>
    <w:rsid w:val="725D02DB"/>
    <w:rsid w:val="727B1CC6"/>
    <w:rsid w:val="72D9A517"/>
    <w:rsid w:val="72EAC7FB"/>
    <w:rsid w:val="732CB38B"/>
    <w:rsid w:val="733BDD38"/>
    <w:rsid w:val="7393CEB0"/>
    <w:rsid w:val="73CEB8AB"/>
    <w:rsid w:val="747548E2"/>
    <w:rsid w:val="75344A75"/>
    <w:rsid w:val="755189DC"/>
    <w:rsid w:val="759BE8AC"/>
    <w:rsid w:val="759C2E5B"/>
    <w:rsid w:val="76262839"/>
    <w:rsid w:val="769C7037"/>
    <w:rsid w:val="76A83007"/>
    <w:rsid w:val="7794AFB9"/>
    <w:rsid w:val="779D03D5"/>
    <w:rsid w:val="77DF3BB0"/>
    <w:rsid w:val="77F92008"/>
    <w:rsid w:val="78B6F8BC"/>
    <w:rsid w:val="78DACD95"/>
    <w:rsid w:val="79149677"/>
    <w:rsid w:val="79803C63"/>
    <w:rsid w:val="798D185D"/>
    <w:rsid w:val="79BC5484"/>
    <w:rsid w:val="79F8F4DF"/>
    <w:rsid w:val="7CEB5A2E"/>
    <w:rsid w:val="7CF9FD0A"/>
    <w:rsid w:val="7D720903"/>
    <w:rsid w:val="7D81CF8A"/>
    <w:rsid w:val="7E3340EE"/>
    <w:rsid w:val="7E498A9E"/>
    <w:rsid w:val="7E801EC7"/>
    <w:rsid w:val="7EF1AD4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4D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D1"/>
    <w:rPr>
      <w:rFonts w:ascii="Arial" w:hAnsi="Arial"/>
      <w:sz w:val="20"/>
      <w:lang w:val="en-GB"/>
    </w:rPr>
  </w:style>
  <w:style w:type="paragraph" w:styleId="Overskrift1">
    <w:name w:val="heading 1"/>
    <w:aliases w:val="Aetat1,Arial 14 Fett,Arial 14 Fett1,Arial 14 Fett11,Arial 14 Fett2,Arial 14 Fett21,Arial 14 Fett3,Benyttes ikke!,H1,Haavind Heading 1,Heading V,Heading V1,Heading V2,Hovedbl,Hovedblokk,Hovedblokk1,Main title,NCAS HEADING 1,TF-Overskrift 1"/>
    <w:basedOn w:val="Listeavsnitt"/>
    <w:next w:val="Normal"/>
    <w:link w:val="Overskrift1Tegn"/>
    <w:uiPriority w:val="1"/>
    <w:qFormat/>
    <w:rsid w:val="00D53D1E"/>
    <w:pPr>
      <w:keepNext/>
      <w:numPr>
        <w:numId w:val="1"/>
      </w:numPr>
      <w:spacing w:before="360" w:after="240" w:line="264" w:lineRule="auto"/>
      <w:contextualSpacing w:val="0"/>
      <w:outlineLvl w:val="0"/>
    </w:pPr>
    <w:rPr>
      <w:rFonts w:eastAsiaTheme="majorEastAsia" w:cs="Arial"/>
      <w:b/>
      <w:caps/>
      <w:kern w:val="0"/>
      <w:szCs w:val="32"/>
      <w14:ligatures w14:val="none"/>
    </w:rPr>
  </w:style>
  <w:style w:type="paragraph" w:styleId="Overskrift2">
    <w:name w:val="heading 2"/>
    <w:aliases w:val="2 headline,Arial 12 Fett Kursiv,Arial 12 Fett Kursiv1,Arial 12 Fett Kursiv11,Arial 12 Fett Kursiv2,Arial 12 Fett Kursiv3,Arial 12 Fett Kursiv4,GD nivå 1,H2,HD2,HD2 Char,Heading EMC-2,Paragraph Level 2 Haavind,Paragraph level 2 Haavind"/>
    <w:basedOn w:val="Overskrift1"/>
    <w:next w:val="Normal"/>
    <w:link w:val="Overskrift2Tegn"/>
    <w:uiPriority w:val="1"/>
    <w:unhideWhenUsed/>
    <w:qFormat/>
    <w:rsid w:val="00330EC0"/>
    <w:pPr>
      <w:keepNext w:val="0"/>
      <w:numPr>
        <w:ilvl w:val="1"/>
      </w:numPr>
      <w:spacing w:before="240"/>
      <w:outlineLvl w:val="1"/>
    </w:pPr>
    <w:rPr>
      <w:b w:val="0"/>
      <w:caps w:val="0"/>
      <w:szCs w:val="26"/>
    </w:rPr>
  </w:style>
  <w:style w:type="paragraph" w:styleId="Overskrift3">
    <w:name w:val="heading 3"/>
    <w:aliases w:val="Arial 12 Fett,Arial 12 Fett1,Arial 12 Fett11,Arial 12 Fett2,Arial 12 Fett3,Arial 12 Fett4,Arial 12 Fett5,GD nivå 1.1,H3,Heading 3 - dbc,NCAS Heading 3,PLS,Paragraph Level 3 Haavind,TF-Overskrift 2,TF-Overskrift 3,Underkap.,Underkap.1,e,h3"/>
    <w:basedOn w:val="Overskrift2"/>
    <w:next w:val="Normal"/>
    <w:link w:val="Overskrift3Tegn"/>
    <w:uiPriority w:val="1"/>
    <w:unhideWhenUsed/>
    <w:qFormat/>
    <w:rsid w:val="00330EC0"/>
    <w:pPr>
      <w:numPr>
        <w:ilvl w:val="2"/>
      </w:numPr>
      <w:outlineLvl w:val="2"/>
    </w:pPr>
    <w:rPr>
      <w:szCs w:val="24"/>
      <w:lang w:val="en-US"/>
    </w:rPr>
  </w:style>
  <w:style w:type="paragraph" w:styleId="Overskrift4">
    <w:name w:val="heading 4"/>
    <w:aliases w:val="4,41,410,42,43,44,45,46,47,48,49,Avsnitt,Avsnitt1,Forutsetninger,H4,H41,H410,H42,H43,H44,H45,H46,H47,H48,H49,ICG-rapp m/nr-overskrift nivå 4,Level 2 - a,Map Title,Paragraph Level 4 Haavind,a.,a.1,a.10,a.11,a.2,a.3,a.4,a.5,a.6,a.7,a.8,a.9,h4"/>
    <w:basedOn w:val="Normal"/>
    <w:next w:val="Normal"/>
    <w:link w:val="Overskrift4Tegn"/>
    <w:uiPriority w:val="1"/>
    <w:unhideWhenUsed/>
    <w:qFormat/>
    <w:rsid w:val="00813EF3"/>
    <w:pPr>
      <w:keepNext/>
      <w:keepLines/>
      <w:numPr>
        <w:ilvl w:val="3"/>
        <w:numId w:val="2"/>
      </w:numPr>
      <w:spacing w:before="40" w:after="0"/>
      <w:outlineLvl w:val="3"/>
    </w:pPr>
    <w:rPr>
      <w:rFonts w:asciiTheme="majorHAnsi" w:eastAsiaTheme="majorEastAsia" w:hAnsiTheme="majorHAnsi" w:cstheme="majorBidi"/>
      <w:iCs/>
    </w:rPr>
  </w:style>
  <w:style w:type="paragraph" w:styleId="Overskrift5">
    <w:name w:val="heading 5"/>
    <w:aliases w:val="GD nivå 1.1.1.1,H5,H51,H511,H52,H521,H53,H54,H55,H56,H57,H58,L5,Level 5 Topic Heading,Underavsnitt,Underavsnitt1,Underavsnitt2,Underavsnitt3,Underavsnitt4,Underavsnitt5,Underavsnitt6,Underavsnitt7,Underavsnitt8,h5,i innholdsfortegnelsen"/>
    <w:basedOn w:val="Normal"/>
    <w:next w:val="Normal"/>
    <w:link w:val="Overskrift5Tegn"/>
    <w:uiPriority w:val="9"/>
    <w:unhideWhenUsed/>
    <w:qFormat/>
    <w:rsid w:val="00813EF3"/>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813EF3"/>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813EF3"/>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813EF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3EF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Aetat1 Tegn,Arial 14 Fett Tegn,Arial 14 Fett1 Tegn,Arial 14 Fett11 Tegn,Arial 14 Fett2 Tegn,Arial 14 Fett21 Tegn,Arial 14 Fett3 Tegn,Benyttes ikke! Tegn,H1 Tegn,Haavind Heading 1 Tegn,Heading V Tegn,Heading V1 Tegn,Heading V2 Tegn"/>
    <w:basedOn w:val="Standardskriftforavsnitt"/>
    <w:link w:val="Overskrift1"/>
    <w:uiPriority w:val="1"/>
    <w:rsid w:val="00D53D1E"/>
    <w:rPr>
      <w:rFonts w:ascii="Arial" w:eastAsiaTheme="majorEastAsia" w:hAnsi="Arial" w:cs="Arial"/>
      <w:b/>
      <w:caps/>
      <w:kern w:val="0"/>
      <w:sz w:val="20"/>
      <w:szCs w:val="32"/>
      <w:lang w:val="en-GB"/>
      <w14:ligatures w14:val="none"/>
    </w:rPr>
  </w:style>
  <w:style w:type="character" w:customStyle="1" w:styleId="Overskrift2Tegn">
    <w:name w:val="Overskrift 2 Tegn"/>
    <w:aliases w:val="2 headline Tegn,Arial 12 Fett Kursiv Tegn,Arial 12 Fett Kursiv1 Tegn,Arial 12 Fett Kursiv11 Tegn,Arial 12 Fett Kursiv2 Tegn,Arial 12 Fett Kursiv3 Tegn,Arial 12 Fett Kursiv4 Tegn,GD nivå 1 Tegn,H2 Tegn,HD2 Tegn,HD2 Char Tegn"/>
    <w:basedOn w:val="Standardskriftforavsnitt"/>
    <w:link w:val="Overskrift2"/>
    <w:uiPriority w:val="1"/>
    <w:rsid w:val="00330EC0"/>
    <w:rPr>
      <w:rFonts w:ascii="Arial" w:eastAsiaTheme="majorEastAsia" w:hAnsi="Arial" w:cs="Arial"/>
      <w:kern w:val="0"/>
      <w:sz w:val="20"/>
      <w:szCs w:val="26"/>
      <w:lang w:val="en-GB"/>
      <w14:ligatures w14:val="none"/>
    </w:rPr>
  </w:style>
  <w:style w:type="character" w:customStyle="1" w:styleId="Overskrift3Tegn">
    <w:name w:val="Overskrift 3 Tegn"/>
    <w:aliases w:val="Arial 12 Fett Tegn,Arial 12 Fett1 Tegn,Arial 12 Fett11 Tegn,Arial 12 Fett2 Tegn,Arial 12 Fett3 Tegn,Arial 12 Fett4 Tegn,Arial 12 Fett5 Tegn,GD nivå 1.1 Tegn,H3 Tegn,Heading 3 - dbc Tegn,NCAS Heading 3 Tegn,PLS Tegn,TF-Overskrift 2 Tegn"/>
    <w:basedOn w:val="Standardskriftforavsnitt"/>
    <w:link w:val="Overskrift3"/>
    <w:uiPriority w:val="1"/>
    <w:rsid w:val="00330EC0"/>
    <w:rPr>
      <w:rFonts w:ascii="Arial" w:eastAsiaTheme="majorEastAsia" w:hAnsi="Arial" w:cs="Arial"/>
      <w:kern w:val="0"/>
      <w:sz w:val="20"/>
      <w:szCs w:val="24"/>
      <w:lang w:val="en-US"/>
      <w14:ligatures w14:val="none"/>
    </w:rPr>
  </w:style>
  <w:style w:type="character" w:customStyle="1" w:styleId="Overskrift4Tegn">
    <w:name w:val="Overskrift 4 Tegn"/>
    <w:aliases w:val="4 Tegn,41 Tegn,410 Tegn,42 Tegn,43 Tegn,44 Tegn,45 Tegn,46 Tegn,47 Tegn,48 Tegn,49 Tegn,Avsnitt Tegn,Avsnitt1 Tegn,Forutsetninger Tegn,H4 Tegn,H41 Tegn,H410 Tegn,H42 Tegn,H43 Tegn,H44 Tegn,H45 Tegn,H46 Tegn,H47 Tegn,H48 Tegn,H49 Tegn"/>
    <w:basedOn w:val="Standardskriftforavsnitt"/>
    <w:link w:val="Overskrift4"/>
    <w:uiPriority w:val="9"/>
    <w:rsid w:val="00813EF3"/>
    <w:rPr>
      <w:rFonts w:asciiTheme="majorHAnsi" w:eastAsiaTheme="majorEastAsia" w:hAnsiTheme="majorHAnsi" w:cstheme="majorBidi"/>
      <w:iCs/>
      <w:lang w:val="en-GB"/>
    </w:rPr>
  </w:style>
  <w:style w:type="character" w:customStyle="1" w:styleId="Overskrift5Tegn">
    <w:name w:val="Overskrift 5 Tegn"/>
    <w:aliases w:val="GD nivå 1.1.1.1 Tegn,H5 Tegn,H51 Tegn,H511 Tegn,H52 Tegn,H521 Tegn,H53 Tegn,H54 Tegn,H55 Tegn,H56 Tegn,H57 Tegn,H58 Tegn,L5 Tegn,Level 5 Topic Heading Tegn,Underavsnitt Tegn,Underavsnitt1 Tegn,Underavsnitt2 Tegn,Underavsnitt3 Tegn"/>
    <w:basedOn w:val="Standardskriftforavsnitt"/>
    <w:link w:val="Overskrift5"/>
    <w:uiPriority w:val="9"/>
    <w:rsid w:val="00813EF3"/>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813EF3"/>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813EF3"/>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813EF3"/>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813EF3"/>
    <w:rPr>
      <w:rFonts w:asciiTheme="majorHAnsi" w:eastAsiaTheme="majorEastAsia" w:hAnsiTheme="majorHAnsi" w:cstheme="majorBidi"/>
      <w:i/>
      <w:iCs/>
      <w:color w:val="272727" w:themeColor="text1" w:themeTint="D8"/>
      <w:sz w:val="21"/>
      <w:szCs w:val="21"/>
      <w:lang w:val="en-GB"/>
    </w:rPr>
  </w:style>
  <w:style w:type="paragraph" w:styleId="Listeavsnitt">
    <w:name w:val="List Paragraph"/>
    <w:basedOn w:val="Normal"/>
    <w:uiPriority w:val="34"/>
    <w:qFormat/>
    <w:rsid w:val="00813EF3"/>
    <w:pPr>
      <w:ind w:left="720"/>
      <w:contextualSpacing/>
    </w:pPr>
  </w:style>
  <w:style w:type="paragraph" w:styleId="Topptekst">
    <w:name w:val="header"/>
    <w:basedOn w:val="Normal"/>
    <w:link w:val="TopptekstTegn"/>
    <w:uiPriority w:val="99"/>
    <w:unhideWhenUsed/>
    <w:rsid w:val="0034735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4735B"/>
    <w:rPr>
      <w:lang w:val="en-GB"/>
    </w:rPr>
  </w:style>
  <w:style w:type="paragraph" w:styleId="Bunntekst">
    <w:name w:val="footer"/>
    <w:basedOn w:val="Normal"/>
    <w:link w:val="BunntekstTegn"/>
    <w:uiPriority w:val="99"/>
    <w:unhideWhenUsed/>
    <w:rsid w:val="0034735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4735B"/>
    <w:rPr>
      <w:lang w:val="en-GB"/>
    </w:rPr>
  </w:style>
  <w:style w:type="table" w:styleId="Tabellrutenett">
    <w:name w:val="Table Grid"/>
    <w:basedOn w:val="Vanligtabell"/>
    <w:uiPriority w:val="59"/>
    <w:rsid w:val="008B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nadstekst">
    <w:name w:val="annotation text"/>
    <w:basedOn w:val="Normal"/>
    <w:link w:val="MerknadstekstTegn"/>
    <w:uiPriority w:val="99"/>
    <w:unhideWhenUsed/>
    <w:pPr>
      <w:spacing w:line="240" w:lineRule="auto"/>
    </w:pPr>
    <w:rPr>
      <w:szCs w:val="20"/>
    </w:rPr>
  </w:style>
  <w:style w:type="character" w:customStyle="1" w:styleId="MerknadstekstTegn">
    <w:name w:val="Merknadstekst Tegn"/>
    <w:basedOn w:val="Standardskriftforavsnitt"/>
    <w:link w:val="Merknadstekst"/>
    <w:uiPriority w:val="99"/>
    <w:rPr>
      <w:rFonts w:ascii="Arial" w:hAnsi="Arial"/>
      <w:sz w:val="20"/>
      <w:szCs w:val="20"/>
      <w:lang w:val="en-GB"/>
    </w:rPr>
  </w:style>
  <w:style w:type="character" w:styleId="Merknadsreferanse">
    <w:name w:val="annotation reference"/>
    <w:basedOn w:val="Standardskriftforavsnitt"/>
    <w:uiPriority w:val="99"/>
    <w:semiHidden/>
    <w:unhideWhenUsed/>
    <w:rPr>
      <w:sz w:val="16"/>
      <w:szCs w:val="16"/>
    </w:rPr>
  </w:style>
  <w:style w:type="paragraph" w:styleId="Undertittel">
    <w:name w:val="Subtitle"/>
    <w:next w:val="Brdtekst"/>
    <w:link w:val="UndertittelTegn"/>
    <w:uiPriority w:val="5"/>
    <w:qFormat/>
    <w:rsid w:val="0091593B"/>
    <w:pPr>
      <w:numPr>
        <w:ilvl w:val="1"/>
      </w:numPr>
      <w:spacing w:before="240" w:after="240" w:line="264" w:lineRule="auto"/>
      <w:outlineLvl w:val="0"/>
    </w:pPr>
    <w:rPr>
      <w:rFonts w:ascii="Arial" w:eastAsiaTheme="minorEastAsia" w:hAnsi="Arial" w:cs="Arial"/>
      <w:b/>
      <w:kern w:val="0"/>
      <w:sz w:val="20"/>
      <w:szCs w:val="20"/>
      <w14:ligatures w14:val="none"/>
    </w:rPr>
  </w:style>
  <w:style w:type="character" w:customStyle="1" w:styleId="UndertittelTegn">
    <w:name w:val="Undertittel Tegn"/>
    <w:basedOn w:val="Standardskriftforavsnitt"/>
    <w:link w:val="Undertittel"/>
    <w:uiPriority w:val="5"/>
    <w:rsid w:val="0091593B"/>
    <w:rPr>
      <w:rFonts w:ascii="Arial" w:eastAsiaTheme="minorEastAsia" w:hAnsi="Arial" w:cs="Arial"/>
      <w:b/>
      <w:kern w:val="0"/>
      <w:sz w:val="20"/>
      <w:szCs w:val="20"/>
      <w14:ligatures w14:val="none"/>
    </w:rPr>
  </w:style>
  <w:style w:type="paragraph" w:styleId="Brdtekst">
    <w:name w:val="Body Text"/>
    <w:basedOn w:val="Normal"/>
    <w:link w:val="BrdtekstTegn"/>
    <w:uiPriority w:val="99"/>
    <w:semiHidden/>
    <w:unhideWhenUsed/>
    <w:rsid w:val="0091593B"/>
    <w:pPr>
      <w:spacing w:after="120"/>
    </w:pPr>
  </w:style>
  <w:style w:type="character" w:customStyle="1" w:styleId="BrdtekstTegn">
    <w:name w:val="Brødtekst Tegn"/>
    <w:basedOn w:val="Standardskriftforavsnitt"/>
    <w:link w:val="Brdtekst"/>
    <w:uiPriority w:val="99"/>
    <w:semiHidden/>
    <w:rsid w:val="0091593B"/>
    <w:rPr>
      <w:lang w:val="en-GB"/>
    </w:rPr>
  </w:style>
  <w:style w:type="paragraph" w:styleId="Revisjon">
    <w:name w:val="Revision"/>
    <w:hidden/>
    <w:uiPriority w:val="99"/>
    <w:semiHidden/>
    <w:rsid w:val="00842760"/>
    <w:pPr>
      <w:spacing w:after="0" w:line="240" w:lineRule="auto"/>
    </w:pPr>
    <w:rPr>
      <w:lang w:val="en-GB"/>
    </w:rPr>
  </w:style>
  <w:style w:type="paragraph" w:styleId="Kommentaremne">
    <w:name w:val="annotation subject"/>
    <w:basedOn w:val="Merknadstekst"/>
    <w:next w:val="Merknadstekst"/>
    <w:link w:val="KommentaremneTegn"/>
    <w:uiPriority w:val="99"/>
    <w:semiHidden/>
    <w:unhideWhenUsed/>
    <w:rsid w:val="00842760"/>
    <w:rPr>
      <w:b/>
      <w:bCs/>
    </w:rPr>
  </w:style>
  <w:style w:type="character" w:customStyle="1" w:styleId="KommentaremneTegn">
    <w:name w:val="Kommentaremne Tegn"/>
    <w:basedOn w:val="MerknadstekstTegn"/>
    <w:link w:val="Kommentaremne"/>
    <w:uiPriority w:val="99"/>
    <w:semiHidden/>
    <w:rsid w:val="00842760"/>
    <w:rPr>
      <w:rFonts w:ascii="Arial" w:hAnsi="Arial"/>
      <w:b/>
      <w:bCs/>
      <w:sz w:val="20"/>
      <w:szCs w:val="20"/>
      <w:lang w:val="en-GB"/>
    </w:rPr>
  </w:style>
  <w:style w:type="character" w:styleId="Omtale">
    <w:name w:val="Mention"/>
    <w:basedOn w:val="Standardskriftforavsnitt"/>
    <w:uiPriority w:val="99"/>
    <w:unhideWhenUsed/>
    <w:rsid w:val="00B71B25"/>
    <w:rPr>
      <w:color w:val="2B579A"/>
      <w:shd w:val="clear" w:color="auto" w:fill="E1DFDD"/>
    </w:rPr>
  </w:style>
  <w:style w:type="paragraph" w:styleId="Nummerertliste2">
    <w:name w:val="List Number 2"/>
    <w:aliases w:val="Romertall-liste"/>
    <w:uiPriority w:val="3"/>
    <w:unhideWhenUsed/>
    <w:qFormat/>
    <w:rsid w:val="008463D3"/>
    <w:pPr>
      <w:tabs>
        <w:tab w:val="num" w:pos="936"/>
        <w:tab w:val="left" w:pos="1417"/>
      </w:tabs>
      <w:spacing w:before="120" w:after="120" w:line="264" w:lineRule="auto"/>
      <w:ind w:left="1418" w:hanging="482"/>
    </w:pPr>
    <w:rPr>
      <w:rFonts w:ascii="Arial" w:hAnsi="Arial" w:cs="Arial"/>
      <w:kern w:val="0"/>
      <w:sz w:val="20"/>
      <w:szCs w:val="20"/>
      <w14:ligatures w14:val="none"/>
    </w:rPr>
  </w:style>
  <w:style w:type="paragraph" w:styleId="Nummerertliste3">
    <w:name w:val="List Number 3"/>
    <w:aliases w:val="Nummerliste"/>
    <w:uiPriority w:val="4"/>
    <w:unhideWhenUsed/>
    <w:qFormat/>
    <w:rsid w:val="008463D3"/>
    <w:pPr>
      <w:tabs>
        <w:tab w:val="num" w:pos="936"/>
        <w:tab w:val="left" w:pos="1417"/>
      </w:tabs>
      <w:spacing w:before="120" w:after="120" w:line="264" w:lineRule="auto"/>
      <w:ind w:left="1418" w:hanging="482"/>
    </w:pPr>
    <w:rPr>
      <w:rFonts w:ascii="Arial" w:hAnsi="Arial" w:cs="Arial"/>
      <w:kern w:val="0"/>
      <w:sz w:val="20"/>
      <w:szCs w:val="20"/>
      <w14:ligatures w14:val="none"/>
    </w:rPr>
  </w:style>
  <w:style w:type="paragraph" w:styleId="Nummerertliste">
    <w:name w:val="List Number"/>
    <w:aliases w:val="Bokstavliste"/>
    <w:uiPriority w:val="2"/>
    <w:unhideWhenUsed/>
    <w:qFormat/>
    <w:rsid w:val="00027674"/>
    <w:pPr>
      <w:tabs>
        <w:tab w:val="num" w:pos="936"/>
        <w:tab w:val="left" w:pos="1417"/>
      </w:tabs>
      <w:spacing w:before="120" w:after="120" w:line="264" w:lineRule="auto"/>
      <w:ind w:left="1418" w:hanging="482"/>
    </w:pPr>
    <w:rPr>
      <w:rFonts w:ascii="Arial" w:hAnsi="Arial" w:cs="Arial"/>
      <w:kern w:val="0"/>
      <w:sz w:val="20"/>
      <w:szCs w:val="20"/>
      <w14:ligatures w14:val="none"/>
    </w:rPr>
  </w:style>
  <w:style w:type="paragraph" w:customStyle="1" w:styleId="Overskrift2a">
    <w:name w:val="Overskrift 2a"/>
    <w:basedOn w:val="Overskrift2"/>
    <w:link w:val="Overskrift2aTegn"/>
    <w:qFormat/>
    <w:rsid w:val="00384DE0"/>
    <w:rPr>
      <w:b/>
    </w:rPr>
  </w:style>
  <w:style w:type="character" w:customStyle="1" w:styleId="Overskrift2aTegn">
    <w:name w:val="Overskrift 2a Tegn"/>
    <w:basedOn w:val="Overskrift2Tegn"/>
    <w:link w:val="Overskrift2a"/>
    <w:rsid w:val="00384DE0"/>
    <w:rPr>
      <w:rFonts w:ascii="Arial" w:eastAsiaTheme="majorEastAsia" w:hAnsi="Arial" w:cs="Arial"/>
      <w:b/>
      <w:kern w:val="0"/>
      <w:sz w:val="20"/>
      <w:szCs w:val="26"/>
      <w:lang w:val="en-GB"/>
      <w14:ligatures w14:val="none"/>
    </w:rPr>
  </w:style>
  <w:style w:type="character" w:styleId="Hyperkobling">
    <w:name w:val="Hyperlink"/>
    <w:basedOn w:val="Standardskriftforavsnitt"/>
    <w:uiPriority w:val="99"/>
    <w:unhideWhenUsed/>
    <w:rsid w:val="000F0FD6"/>
    <w:rPr>
      <w:color w:val="0563C1" w:themeColor="hyperlink"/>
      <w:u w:val="single"/>
    </w:rPr>
  </w:style>
  <w:style w:type="character" w:styleId="Ulstomtale">
    <w:name w:val="Unresolved Mention"/>
    <w:basedOn w:val="Standardskriftforavsnitt"/>
    <w:uiPriority w:val="99"/>
    <w:semiHidden/>
    <w:unhideWhenUsed/>
    <w:rsid w:val="000F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77750">
      <w:bodyDiv w:val="1"/>
      <w:marLeft w:val="0"/>
      <w:marRight w:val="0"/>
      <w:marTop w:val="0"/>
      <w:marBottom w:val="0"/>
      <w:divBdr>
        <w:top w:val="none" w:sz="0" w:space="0" w:color="auto"/>
        <w:left w:val="none" w:sz="0" w:space="0" w:color="auto"/>
        <w:bottom w:val="none" w:sz="0" w:space="0" w:color="auto"/>
        <w:right w:val="none" w:sz="0" w:space="0" w:color="auto"/>
      </w:divBdr>
    </w:div>
    <w:div w:id="559561222">
      <w:bodyDiv w:val="1"/>
      <w:marLeft w:val="0"/>
      <w:marRight w:val="0"/>
      <w:marTop w:val="0"/>
      <w:marBottom w:val="0"/>
      <w:divBdr>
        <w:top w:val="none" w:sz="0" w:space="0" w:color="auto"/>
        <w:left w:val="none" w:sz="0" w:space="0" w:color="auto"/>
        <w:bottom w:val="none" w:sz="0" w:space="0" w:color="auto"/>
        <w:right w:val="none" w:sz="0" w:space="0" w:color="auto"/>
      </w:divBdr>
    </w:div>
    <w:div w:id="835456550">
      <w:bodyDiv w:val="1"/>
      <w:marLeft w:val="0"/>
      <w:marRight w:val="0"/>
      <w:marTop w:val="0"/>
      <w:marBottom w:val="0"/>
      <w:divBdr>
        <w:top w:val="none" w:sz="0" w:space="0" w:color="auto"/>
        <w:left w:val="none" w:sz="0" w:space="0" w:color="auto"/>
        <w:bottom w:val="none" w:sz="0" w:space="0" w:color="auto"/>
        <w:right w:val="none" w:sz="0" w:space="0" w:color="auto"/>
      </w:divBdr>
    </w:div>
    <w:div w:id="8863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20" ma:contentTypeDescription="Opprett et nytt dokument." ma:contentTypeScope="" ma:versionID="a4c5a3648ba62bbcdaa0d042e5d6f888">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47bf968f73c9be2d3d3d905990033d24"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SharedWithUsers xmlns="6f2d107f-4409-4c1e-bd6c-74f36b1a6063">
      <UserInfo>
        <DisplayName/>
        <AccountId xsi:nil="true"/>
        <AccountType/>
      </UserInfo>
    </SharedWithUsers>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Props1.xml><?xml version="1.0" encoding="utf-8"?>
<ds:datastoreItem xmlns:ds="http://schemas.openxmlformats.org/officeDocument/2006/customXml" ds:itemID="{32D29B1F-DDC0-459A-969A-4715DABA2369}"/>
</file>

<file path=customXml/itemProps2.xml><?xml version="1.0" encoding="utf-8"?>
<ds:datastoreItem xmlns:ds="http://schemas.openxmlformats.org/officeDocument/2006/customXml" ds:itemID="{A3F04465-B279-42C7-925D-0ED26547AE17}"/>
</file>

<file path=customXml/itemProps3.xml><?xml version="1.0" encoding="utf-8"?>
<ds:datastoreItem xmlns:ds="http://schemas.openxmlformats.org/officeDocument/2006/customXml" ds:itemID="{65919480-C147-4A6A-AC0E-041FA759F441}"/>
</file>

<file path=docProps/app.xml><?xml version="1.0" encoding="utf-8"?>
<Properties xmlns="http://schemas.openxmlformats.org/officeDocument/2006/extended-properties" xmlns:vt="http://schemas.openxmlformats.org/officeDocument/2006/docPropsVTypes">
  <Template>Normal</Template>
  <TotalTime>0</TotalTime>
  <Pages>7</Pages>
  <Words>2702</Words>
  <Characters>14325</Characters>
  <Application>Microsoft Office Word</Application>
  <DocSecurity>0</DocSecurity>
  <Lines>119</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2025-02-05T15:34:00Z</dcterms:created>
  <dcterms:modified xsi:type="dcterms:W3CDTF">2025-02-05T15:34:00Z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13500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0x0101009DEADBB1EF92BB4A9127851244B08582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GtProjectPhase">
    <vt:lpwstr/>
  </property>
  <property fmtid="{D5CDD505-2E9C-101B-9397-08002B2CF9AE}" pid="10" name="TriggerFlowInfo">
    <vt:lpwstr/>
  </property>
  <property fmtid="{D5CDD505-2E9C-101B-9397-08002B2CF9AE}" pid="11" name="xd_Signature">
    <vt:bool>false</vt:bool>
  </property>
</Properties>
</file>